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44"/>
        <w:gridCol w:w="4645"/>
      </w:tblGrid>
      <w:tr w:rsidR="000D6A84" w:rsidRPr="00A921E5" w14:paraId="78325F13" w14:textId="77777777" w:rsidTr="006D78CA">
        <w:trPr>
          <w:cantSplit/>
        </w:trPr>
        <w:tc>
          <w:tcPr>
            <w:tcW w:w="4644" w:type="dxa"/>
          </w:tcPr>
          <w:p w14:paraId="5B68D371" w14:textId="77777777" w:rsidR="000D6A84" w:rsidRPr="00A921E5" w:rsidRDefault="000D6A84" w:rsidP="001B33A4">
            <w:r w:rsidRPr="00A921E5">
              <w:rPr>
                <w:noProof/>
                <w:lang w:val="en-US"/>
              </w:rPr>
              <w:drawing>
                <wp:inline distT="0" distB="0" distL="0" distR="0" wp14:anchorId="59B86B27" wp14:editId="12F3AC5C">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p>
        </w:tc>
        <w:tc>
          <w:tcPr>
            <w:tcW w:w="4645" w:type="dxa"/>
          </w:tcPr>
          <w:p w14:paraId="5F847967" w14:textId="77777777" w:rsidR="000D6A84" w:rsidRPr="00A921E5" w:rsidRDefault="000D6A84" w:rsidP="001B33A4"/>
        </w:tc>
      </w:tr>
      <w:tr w:rsidR="00444A98" w:rsidRPr="00A921E5" w14:paraId="36F554CE" w14:textId="77777777" w:rsidTr="006D78CA">
        <w:trPr>
          <w:cantSplit/>
        </w:trPr>
        <w:tc>
          <w:tcPr>
            <w:tcW w:w="9289" w:type="dxa"/>
            <w:gridSpan w:val="2"/>
          </w:tcPr>
          <w:p w14:paraId="3F764301" w14:textId="440ACF4E" w:rsidR="00880B6D" w:rsidRPr="00A921E5" w:rsidRDefault="00880B6D" w:rsidP="003A043C">
            <w:pPr>
              <w:jc w:val="right"/>
              <w:rPr>
                <w:b/>
                <w:bCs/>
                <w:sz w:val="28"/>
              </w:rPr>
            </w:pPr>
            <w:r w:rsidRPr="00A921E5">
              <w:rPr>
                <w:b/>
                <w:sz w:val="28"/>
              </w:rPr>
              <w:t>NAT-VII/030</w:t>
            </w:r>
          </w:p>
        </w:tc>
      </w:tr>
      <w:tr w:rsidR="00444A98" w:rsidRPr="00A921E5" w14:paraId="68D62C33" w14:textId="77777777" w:rsidTr="006D78CA">
        <w:tc>
          <w:tcPr>
            <w:tcW w:w="9289" w:type="dxa"/>
            <w:gridSpan w:val="2"/>
          </w:tcPr>
          <w:p w14:paraId="7CC33BB3" w14:textId="7C26DA3A" w:rsidR="00444A98" w:rsidRPr="00A921E5" w:rsidRDefault="00B45AF6" w:rsidP="009B3E6A">
            <w:pPr>
              <w:jc w:val="center"/>
              <w:rPr>
                <w:b/>
                <w:bCs/>
                <w:sz w:val="28"/>
              </w:rPr>
            </w:pPr>
            <w:r w:rsidRPr="00A921E5">
              <w:rPr>
                <w:b/>
                <w:sz w:val="28"/>
              </w:rPr>
              <w:t>15</w:t>
            </w:r>
            <w:r w:rsidR="000F74AF" w:rsidRPr="00A921E5">
              <w:rPr>
                <w:b/>
                <w:sz w:val="28"/>
              </w:rPr>
              <w:t>4</w:t>
            </w:r>
            <w:r w:rsidR="009B3E6A" w:rsidRPr="00A921E5">
              <w:rPr>
                <w:b/>
                <w:sz w:val="28"/>
              </w:rPr>
              <w:t>th</w:t>
            </w:r>
            <w:r w:rsidRPr="00A921E5">
              <w:rPr>
                <w:b/>
                <w:sz w:val="28"/>
              </w:rPr>
              <w:t xml:space="preserve"> </w:t>
            </w:r>
            <w:r w:rsidR="009B3E6A" w:rsidRPr="00A921E5">
              <w:rPr>
                <w:b/>
                <w:sz w:val="28"/>
              </w:rPr>
              <w:t>p</w:t>
            </w:r>
            <w:r w:rsidRPr="00A921E5">
              <w:rPr>
                <w:b/>
                <w:sz w:val="28"/>
              </w:rPr>
              <w:t xml:space="preserve">lenary </w:t>
            </w:r>
            <w:r w:rsidR="009B3E6A" w:rsidRPr="00A921E5">
              <w:rPr>
                <w:b/>
                <w:sz w:val="28"/>
              </w:rPr>
              <w:t>s</w:t>
            </w:r>
            <w:r w:rsidRPr="00A921E5">
              <w:rPr>
                <w:b/>
                <w:sz w:val="28"/>
              </w:rPr>
              <w:t>ession</w:t>
            </w:r>
            <w:r w:rsidR="000F74AF" w:rsidRPr="00A921E5">
              <w:rPr>
                <w:b/>
                <w:sz w:val="28"/>
              </w:rPr>
              <w:t xml:space="preserve">, 15-16 March 2023 </w:t>
            </w:r>
          </w:p>
        </w:tc>
      </w:tr>
    </w:tbl>
    <w:p w14:paraId="7B6A8933" w14:textId="77777777" w:rsidR="00444A98" w:rsidRPr="00A921E5" w:rsidRDefault="009A16C1" w:rsidP="003A043C">
      <w:r w:rsidRPr="00182CEB">
        <w:rPr>
          <w:noProof/>
          <w:lang w:val="en-US"/>
        </w:rPr>
        <mc:AlternateContent>
          <mc:Choice Requires="wps">
            <w:drawing>
              <wp:anchor distT="0" distB="0" distL="114300" distR="114300" simplePos="0" relativeHeight="251655680" behindDoc="1" locked="0" layoutInCell="0" allowOverlap="1" wp14:anchorId="2927FC32" wp14:editId="7E02DB88">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5464" w14:textId="77777777" w:rsidR="00444A98" w:rsidRPr="00B33430" w:rsidRDefault="00444A98">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FC32"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sz8gEAAMU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CSDgsz8gEAAMUDAAAOAAAAAAAAAAAAAAAAAC4CAABkcnMv&#10;ZTJvRG9jLnhtbFBLAQItABQABgAIAAAAIQDrVDFa3gAAAA8BAAAPAAAAAAAAAAAAAAAAAEwEAABk&#10;cnMvZG93bnJldi54bWxQSwUGAAAAAAQABADzAAAAVwUAAAAA&#10;" o:allowincell="f" filled="f" stroked="f">
                <v:textbox>
                  <w:txbxContent>
                    <w:p w14:paraId="56A15464" w14:textId="77777777" w:rsidR="00444A98" w:rsidRPr="00B33430" w:rsidRDefault="00444A98">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p>
    <w:p w14:paraId="411E6037" w14:textId="77777777" w:rsidR="00444A98" w:rsidRPr="00A921E5" w:rsidRDefault="00444A98" w:rsidP="003A043C"/>
    <w:p w14:paraId="455DED08" w14:textId="7707DF94" w:rsidR="001B33A4" w:rsidRPr="00A921E5" w:rsidRDefault="00444A98" w:rsidP="003A043C">
      <w:pPr>
        <w:jc w:val="center"/>
        <w:rPr>
          <w:b/>
          <w:bCs/>
          <w:sz w:val="28"/>
        </w:rPr>
      </w:pPr>
      <w:r w:rsidRPr="00A921E5">
        <w:rPr>
          <w:b/>
          <w:bCs/>
          <w:sz w:val="28"/>
        </w:rPr>
        <w:t>OPINION</w:t>
      </w:r>
    </w:p>
    <w:p w14:paraId="3F5B1796" w14:textId="77777777" w:rsidR="001B33A4" w:rsidRPr="00A921E5" w:rsidRDefault="001B33A4" w:rsidP="006D78CA"/>
    <w:p w14:paraId="00113986" w14:textId="0ACBF16F" w:rsidR="00880B6D" w:rsidRPr="00A921E5" w:rsidRDefault="00880B6D" w:rsidP="00880B6D">
      <w:pPr>
        <w:jc w:val="center"/>
        <w:rPr>
          <w:b/>
          <w:bCs/>
          <w:sz w:val="28"/>
        </w:rPr>
      </w:pPr>
      <w:r w:rsidRPr="00A921E5">
        <w:rPr>
          <w:b/>
          <w:bCs/>
          <w:sz w:val="28"/>
        </w:rPr>
        <w:t>Targets and tools for a smart rural Europe</w:t>
      </w:r>
    </w:p>
    <w:p w14:paraId="208EF7E5" w14:textId="77777777" w:rsidR="00444A98" w:rsidRPr="00A921E5" w:rsidRDefault="00444A98" w:rsidP="003A043C">
      <w:pPr>
        <w:jc w:val="left"/>
      </w:pPr>
    </w:p>
    <w:p w14:paraId="27C8C583" w14:textId="77777777" w:rsidR="00444A98" w:rsidRPr="00A921E5" w:rsidRDefault="00444A98" w:rsidP="003A043C"/>
    <w:tbl>
      <w:tblPr>
        <w:tblW w:w="5000" w:type="pct"/>
        <w:tblLook w:val="0000" w:firstRow="0" w:lastRow="0" w:firstColumn="0" w:lastColumn="0" w:noHBand="0" w:noVBand="0"/>
      </w:tblPr>
      <w:tblGrid>
        <w:gridCol w:w="9073"/>
      </w:tblGrid>
      <w:tr w:rsidR="00444A98" w:rsidRPr="00A921E5" w14:paraId="5F595D17" w14:textId="77777777" w:rsidTr="006D78CA">
        <w:tc>
          <w:tcPr>
            <w:tcW w:w="5000" w:type="pct"/>
          </w:tcPr>
          <w:p w14:paraId="5C4E0AB4" w14:textId="77777777" w:rsidR="00444A98" w:rsidRPr="00A921E5" w:rsidRDefault="00444A98" w:rsidP="003A043C">
            <w:pPr>
              <w:jc w:val="center"/>
            </w:pPr>
            <w:r w:rsidRPr="00A921E5">
              <w:t>_____________</w:t>
            </w:r>
          </w:p>
          <w:p w14:paraId="38383516" w14:textId="77777777" w:rsidR="00444A98" w:rsidRPr="00A921E5" w:rsidRDefault="00444A98" w:rsidP="00583866">
            <w:pPr>
              <w:jc w:val="center"/>
            </w:pPr>
            <w:r w:rsidRPr="00A921E5">
              <w:t>_____________</w:t>
            </w:r>
          </w:p>
        </w:tc>
      </w:tr>
    </w:tbl>
    <w:p w14:paraId="02551BDE" w14:textId="77777777" w:rsidR="00444A98" w:rsidRPr="00A921E5" w:rsidRDefault="00444A98" w:rsidP="003A043C">
      <w:pPr>
        <w:jc w:val="left"/>
      </w:pPr>
    </w:p>
    <w:tbl>
      <w:tblPr>
        <w:tblpPr w:leftFromText="180" w:rightFromText="180" w:vertAnchor="text" w:tblpY="235"/>
        <w:tblW w:w="9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574104" w:rsidRPr="00A921E5" w14:paraId="3DFE7AD2" w14:textId="77777777" w:rsidTr="00574104">
        <w:tc>
          <w:tcPr>
            <w:tcW w:w="9289" w:type="dxa"/>
            <w:tcBorders>
              <w:top w:val="single" w:sz="4" w:space="0" w:color="auto"/>
              <w:bottom w:val="single" w:sz="4" w:space="0" w:color="auto"/>
            </w:tcBorders>
          </w:tcPr>
          <w:p w14:paraId="1B7C4378" w14:textId="77777777" w:rsidR="00574104" w:rsidRDefault="00574104" w:rsidP="00574104">
            <w:r w:rsidRPr="00510D4A">
              <w:rPr>
                <w:u w:val="single"/>
              </w:rPr>
              <w:t>THE EUROPEAN COMMITTEE OF THE REGIONS</w:t>
            </w:r>
          </w:p>
          <w:p w14:paraId="09351BCD" w14:textId="77777777" w:rsidR="00574104" w:rsidRDefault="00574104" w:rsidP="00574104"/>
          <w:p w14:paraId="55784CB5" w14:textId="77777777" w:rsidR="00574104" w:rsidRDefault="00574104" w:rsidP="00574104">
            <w:r>
              <w:t>•</w:t>
            </w:r>
            <w:r>
              <w:tab/>
              <w:t xml:space="preserve">Reiterates its support for the Long-term vision for the EU's rural areas 2040 (LTVRA), which will support territorial cohesion and create new opportunities to attract innovative businesses, ensure access to quality jobs, promote new and better skills, ensure better infrastructure and services and strengthen the role of sustainable agriculture and diversified economic activities. </w:t>
            </w:r>
          </w:p>
          <w:p w14:paraId="03238F4E" w14:textId="77777777" w:rsidR="00574104" w:rsidRDefault="00574104" w:rsidP="00574104">
            <w:r>
              <w:t>•</w:t>
            </w:r>
            <w:r>
              <w:tab/>
              <w:t>Insists that all EU policies should promote the attractiveness of these areas and protect their quality of life and the rural population by ensuring equal access to basic services and opportunities.</w:t>
            </w:r>
          </w:p>
          <w:p w14:paraId="063D44C2" w14:textId="77777777" w:rsidR="00574104" w:rsidRDefault="00574104" w:rsidP="00574104">
            <w:r>
              <w:t>•Points out that the magnitude of the challenges requires a strong concentration of financial resources and all activities in rural areas; considers it necessary to connect development tools, reduce their fragmentation, strengthen synergies between LEADER/CLLD, smart villages initiatives and LAGs.</w:t>
            </w:r>
          </w:p>
          <w:p w14:paraId="77837A67" w14:textId="77777777" w:rsidR="00574104" w:rsidRDefault="00574104" w:rsidP="00574104">
            <w:r>
              <w:t>•</w:t>
            </w:r>
            <w:r>
              <w:tab/>
              <w:t xml:space="preserve">Invites the EU institutions, Member States and regions to harness the full potential of the smart village concept as a new, innovative tool for the European policy and for the development of rural areas; </w:t>
            </w:r>
          </w:p>
          <w:p w14:paraId="09FBAD89" w14:textId="77777777" w:rsidR="00574104" w:rsidRDefault="00574104" w:rsidP="00574104">
            <w:r>
              <w:t>•</w:t>
            </w:r>
            <w:r>
              <w:tab/>
              <w:t>Calls for better conditions to be created for the development of diversified small and medium-sized businesses and for start-ups to become a natural part of the development of smart municipalities in rural areas.</w:t>
            </w:r>
          </w:p>
          <w:p w14:paraId="173D0929" w14:textId="77777777" w:rsidR="00574104" w:rsidRDefault="00574104" w:rsidP="00574104">
            <w:r>
              <w:t>•</w:t>
            </w:r>
            <w:r>
              <w:tab/>
              <w:t>Welcomes the inclusion of rural areas in the European Declaration on Digital Rights and Principles for the Digital Decade.</w:t>
            </w:r>
          </w:p>
          <w:p w14:paraId="1B9519B4" w14:textId="77777777" w:rsidR="00574104" w:rsidRDefault="00574104" w:rsidP="00574104">
            <w:r>
              <w:t>•</w:t>
            </w:r>
            <w:r>
              <w:tab/>
              <w:t>Calls for post-2027 Cohesion Policy to include specific EU-level regional targeting and earmarking for rural areas, with a minimum aid threshold in Partnership Agreements.</w:t>
            </w:r>
          </w:p>
          <w:p w14:paraId="4207BD85" w14:textId="77777777" w:rsidR="00574104" w:rsidRPr="00A921E5" w:rsidRDefault="00574104" w:rsidP="00574104">
            <w:pPr>
              <w:rPr>
                <w:bCs/>
                <w:iCs/>
                <w:color w:val="000000"/>
              </w:rPr>
            </w:pPr>
            <w:r>
              <w:t>•</w:t>
            </w:r>
            <w:r>
              <w:tab/>
              <w:t>Invites the Commission to include proposals for targets and indicators in its evaluation report on the implementation of the LTVRA. Invites the Commission to propose how to integrate these targets in existing EU monitoring systems (e.g. the European Semester).</w:t>
            </w:r>
          </w:p>
        </w:tc>
      </w:tr>
    </w:tbl>
    <w:p w14:paraId="050BE185" w14:textId="1A4C8FD1" w:rsidR="003E1CB2" w:rsidRPr="00A921E5" w:rsidRDefault="003E1CB2" w:rsidP="000D6A84">
      <w:r w:rsidRPr="00182CEB">
        <w:rPr>
          <w:noProof/>
          <w:lang w:val="en-US"/>
        </w:rPr>
        <w:drawing>
          <wp:anchor distT="0" distB="0" distL="114300" distR="114300" simplePos="0" relativeHeight="251659776" behindDoc="0" locked="0" layoutInCell="1" allowOverlap="1" wp14:anchorId="4EACFAA6" wp14:editId="5D189116">
            <wp:simplePos x="0" y="0"/>
            <wp:positionH relativeFrom="column">
              <wp:posOffset>-54107</wp:posOffset>
            </wp:positionH>
            <wp:positionV relativeFrom="page">
              <wp:posOffset>10206395</wp:posOffset>
            </wp:positionV>
            <wp:extent cx="5759450" cy="291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margin">
              <wp14:pctWidth>0</wp14:pctWidth>
            </wp14:sizeRelH>
            <wp14:sizeRelV relativeFrom="margin">
              <wp14:pctHeight>0</wp14:pctHeight>
            </wp14:sizeRelV>
          </wp:anchor>
        </w:drawing>
      </w:r>
    </w:p>
    <w:p w14:paraId="33D758CD" w14:textId="77777777" w:rsidR="000D6A84" w:rsidRPr="00A921E5" w:rsidRDefault="000D6A84" w:rsidP="000D6A84">
      <w:pPr>
        <w:tabs>
          <w:tab w:val="left" w:pos="440"/>
        </w:tabs>
        <w:ind w:left="440" w:hanging="440"/>
        <w:sectPr w:rsidR="000D6A84" w:rsidRPr="00A921E5" w:rsidSect="00371A81">
          <w:footerReference w:type="default" r:id="rId13"/>
          <w:footerReference w:type="first" r:id="rId14"/>
          <w:pgSz w:w="11907" w:h="16839" w:code="9"/>
          <w:pgMar w:top="1417" w:right="1417" w:bottom="1417" w:left="1417" w:header="709" w:footer="794"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A921E5" w14:paraId="4EE911E8" w14:textId="77777777" w:rsidTr="006D78CA">
        <w:trPr>
          <w:trHeight w:val="12474"/>
        </w:trPr>
        <w:tc>
          <w:tcPr>
            <w:tcW w:w="9289" w:type="dxa"/>
            <w:vAlign w:val="bottom"/>
          </w:tcPr>
          <w:p w14:paraId="245BC8D6" w14:textId="70F6C807" w:rsidR="00732F8D" w:rsidRPr="000A74E6" w:rsidRDefault="00732F8D" w:rsidP="00732F8D">
            <w:pPr>
              <w:spacing w:line="264" w:lineRule="auto"/>
              <w:jc w:val="left"/>
            </w:pPr>
            <w:r>
              <w:rPr>
                <w:u w:val="single"/>
              </w:rPr>
              <w:lastRenderedPageBreak/>
              <w:t>Rapporteur:</w:t>
            </w:r>
            <w:r w:rsidRPr="00732F8D">
              <w:rPr>
                <w:u w:val="single"/>
              </w:rPr>
              <w:t xml:space="preserve"> </w:t>
            </w:r>
            <w:r w:rsidRPr="00732F8D">
              <w:t>Radim Sršeň (CZ/EPP)</w:t>
            </w:r>
            <w:r>
              <w:t xml:space="preserve">, </w:t>
            </w:r>
            <w:r w:rsidRPr="000A74E6">
              <w:t xml:space="preserve">Mayor of the Municipality of </w:t>
            </w:r>
            <w:proofErr w:type="spellStart"/>
            <w:r w:rsidRPr="000A74E6">
              <w:t>Dolní</w:t>
            </w:r>
            <w:proofErr w:type="spellEnd"/>
            <w:r w:rsidRPr="000A74E6">
              <w:t xml:space="preserve"> </w:t>
            </w:r>
            <w:proofErr w:type="spellStart"/>
            <w:r w:rsidRPr="000A74E6">
              <w:t>Studénky</w:t>
            </w:r>
            <w:proofErr w:type="spellEnd"/>
          </w:p>
          <w:p w14:paraId="7CD1D9C8" w14:textId="7034778E" w:rsidR="00732F8D" w:rsidRPr="000A74E6" w:rsidRDefault="00732F8D" w:rsidP="00732F8D">
            <w:pPr>
              <w:spacing w:line="264" w:lineRule="auto"/>
              <w:jc w:val="left"/>
              <w:rPr>
                <w:b/>
                <w:bCs/>
              </w:rPr>
            </w:pPr>
          </w:p>
          <w:p w14:paraId="44916818" w14:textId="199CBA3B" w:rsidR="00732F8D" w:rsidRDefault="00732F8D" w:rsidP="003A043C">
            <w:pPr>
              <w:rPr>
                <w:u w:val="single"/>
              </w:rPr>
            </w:pPr>
          </w:p>
          <w:p w14:paraId="7EDE3541" w14:textId="77777777" w:rsidR="00732F8D" w:rsidRDefault="00732F8D" w:rsidP="003A043C">
            <w:pPr>
              <w:rPr>
                <w:u w:val="single"/>
              </w:rPr>
            </w:pPr>
          </w:p>
          <w:p w14:paraId="67766DC3" w14:textId="697EE7D9" w:rsidR="00444A98" w:rsidRPr="00A921E5" w:rsidRDefault="00444A98" w:rsidP="003A043C">
            <w:pPr>
              <w:rPr>
                <w:u w:val="single"/>
              </w:rPr>
            </w:pPr>
            <w:r w:rsidRPr="00A921E5">
              <w:rPr>
                <w:u w:val="single"/>
              </w:rPr>
              <w:t>Reference document</w:t>
            </w:r>
            <w:r w:rsidR="00B35C1C" w:rsidRPr="00A921E5">
              <w:rPr>
                <w:u w:val="single"/>
              </w:rPr>
              <w:t>: N/A</w:t>
            </w:r>
          </w:p>
          <w:p w14:paraId="455DC202" w14:textId="77777777" w:rsidR="00444A98" w:rsidRPr="00A921E5" w:rsidRDefault="00444A98" w:rsidP="003A043C"/>
          <w:p w14:paraId="38E89D58" w14:textId="77777777" w:rsidR="00444A98" w:rsidRPr="00A921E5" w:rsidRDefault="00444A98" w:rsidP="003A043C"/>
        </w:tc>
      </w:tr>
    </w:tbl>
    <w:p w14:paraId="5E60E26C" w14:textId="77777777" w:rsidR="00444A98" w:rsidRPr="00A921E5" w:rsidRDefault="00444A98" w:rsidP="003A043C">
      <w:pPr>
        <w:rPr>
          <w:szCs w:val="22"/>
        </w:rPr>
      </w:pPr>
    </w:p>
    <w:p w14:paraId="45DB2DB7" w14:textId="3E3D8858" w:rsidR="00444A98" w:rsidRPr="00A921E5" w:rsidRDefault="00444A98" w:rsidP="003A043C">
      <w:pPr>
        <w:jc w:val="center"/>
        <w:rPr>
          <w:b/>
        </w:rPr>
      </w:pPr>
      <w:r w:rsidRPr="00A921E5">
        <w:rPr>
          <w:rFonts w:ascii="Times New Roman Bold" w:hAnsi="Times New Roman Bold"/>
          <w:b/>
          <w:bCs/>
          <w:szCs w:val="22"/>
        </w:rPr>
        <w:br w:type="page"/>
      </w:r>
      <w:r w:rsidRPr="00A921E5">
        <w:rPr>
          <w:b/>
        </w:rPr>
        <w:lastRenderedPageBreak/>
        <w:t xml:space="preserve"> </w:t>
      </w:r>
      <w:r w:rsidR="00214238">
        <w:rPr>
          <w:b/>
        </w:rPr>
        <w:t>O</w:t>
      </w:r>
      <w:r w:rsidRPr="00A921E5">
        <w:rPr>
          <w:b/>
        </w:rPr>
        <w:t>pinion of the</w:t>
      </w:r>
      <w:r w:rsidR="00767BAA" w:rsidRPr="00A921E5">
        <w:rPr>
          <w:b/>
        </w:rPr>
        <w:t xml:space="preserve"> </w:t>
      </w:r>
      <w:r w:rsidR="00206A50" w:rsidRPr="00A921E5">
        <w:rPr>
          <w:b/>
          <w:color w:val="000000" w:themeColor="text1"/>
        </w:rPr>
        <w:t>European Committee of the Regions</w:t>
      </w:r>
      <w:r w:rsidR="00206A50" w:rsidRPr="00A921E5">
        <w:rPr>
          <w:b/>
        </w:rPr>
        <w:t xml:space="preserve"> </w:t>
      </w:r>
      <w:r w:rsidRPr="00A921E5">
        <w:rPr>
          <w:b/>
        </w:rPr>
        <w:t xml:space="preserve">– </w:t>
      </w:r>
      <w:r w:rsidR="00770D7F" w:rsidRPr="00A921E5">
        <w:rPr>
          <w:b/>
        </w:rPr>
        <w:br/>
      </w:r>
      <w:r w:rsidR="00B42F16" w:rsidRPr="00A921E5">
        <w:rPr>
          <w:b/>
        </w:rPr>
        <w:t>Targets and tools for a smart rural Europe</w:t>
      </w:r>
    </w:p>
    <w:p w14:paraId="08441551" w14:textId="77777777" w:rsidR="003A043C" w:rsidRPr="00A921E5" w:rsidRDefault="003A043C" w:rsidP="003A043C"/>
    <w:p w14:paraId="36F26F23" w14:textId="77777777" w:rsidR="00444A98" w:rsidRPr="00A921E5" w:rsidRDefault="00444A98" w:rsidP="003E420C">
      <w:pPr>
        <w:keepNext/>
        <w:numPr>
          <w:ilvl w:val="0"/>
          <w:numId w:val="13"/>
        </w:numPr>
        <w:ind w:left="567" w:hanging="567"/>
        <w:rPr>
          <w:b/>
        </w:rPr>
      </w:pPr>
      <w:r w:rsidRPr="00A921E5">
        <w:rPr>
          <w:b/>
          <w:bCs/>
        </w:rPr>
        <w:t>POLICY</w:t>
      </w:r>
      <w:r w:rsidRPr="00A921E5">
        <w:rPr>
          <w:b/>
        </w:rPr>
        <w:t xml:space="preserve"> RECOMMENDATIONS</w:t>
      </w:r>
    </w:p>
    <w:p w14:paraId="0D9E59B9" w14:textId="77777777" w:rsidR="00444A98" w:rsidRPr="00A921E5" w:rsidRDefault="00444A98" w:rsidP="003E420C">
      <w:pPr>
        <w:keepNext/>
      </w:pPr>
    </w:p>
    <w:p w14:paraId="0EE4D70A" w14:textId="77777777" w:rsidR="00444A98" w:rsidRPr="00A921E5" w:rsidRDefault="00444A98" w:rsidP="003E420C">
      <w:pPr>
        <w:keepNext/>
      </w:pPr>
      <w:r w:rsidRPr="00A921E5">
        <w:t xml:space="preserve">THE </w:t>
      </w:r>
      <w:r w:rsidR="005C4B78" w:rsidRPr="00A921E5">
        <w:t xml:space="preserve">EUROPEAN </w:t>
      </w:r>
      <w:r w:rsidRPr="00A921E5">
        <w:t>COMMITTEE OF THE REGIONS</w:t>
      </w:r>
    </w:p>
    <w:p w14:paraId="7C1A6363" w14:textId="77777777" w:rsidR="00444A98" w:rsidRPr="00A921E5" w:rsidRDefault="00444A98" w:rsidP="003E420C">
      <w:pPr>
        <w:keepNext/>
      </w:pPr>
    </w:p>
    <w:p w14:paraId="349CEEAC" w14:textId="77777777" w:rsidR="003965DF" w:rsidRPr="00A921E5" w:rsidRDefault="003965DF" w:rsidP="003965DF">
      <w:pPr>
        <w:keepNext/>
        <w:rPr>
          <w:i/>
        </w:rPr>
      </w:pPr>
      <w:r w:rsidRPr="00A921E5">
        <w:rPr>
          <w:i/>
        </w:rPr>
        <w:t>The challenges we are facing</w:t>
      </w:r>
    </w:p>
    <w:p w14:paraId="037D1AAC" w14:textId="77777777" w:rsidR="003965DF" w:rsidRPr="00A921E5" w:rsidRDefault="003965DF" w:rsidP="003965DF">
      <w:pPr>
        <w:keepNext/>
        <w:rPr>
          <w:iCs/>
        </w:rPr>
      </w:pPr>
    </w:p>
    <w:p w14:paraId="2F6758B4" w14:textId="4DC4ECC9" w:rsidR="003965DF" w:rsidRPr="00A921E5" w:rsidRDefault="00FA5192" w:rsidP="003965DF">
      <w:pPr>
        <w:pStyle w:val="Heading1"/>
        <w:ind w:left="567" w:hanging="567"/>
      </w:pPr>
      <w:r w:rsidRPr="00A921E5">
        <w:t>Reiterates its support for</w:t>
      </w:r>
      <w:r w:rsidR="003965DF" w:rsidRPr="00A921E5">
        <w:t xml:space="preserve"> the </w:t>
      </w:r>
      <w:r w:rsidR="003965DF" w:rsidRPr="00A921E5">
        <w:rPr>
          <w:i/>
        </w:rPr>
        <w:t xml:space="preserve">Long-term </w:t>
      </w:r>
      <w:r w:rsidR="006D60A9" w:rsidRPr="00A921E5">
        <w:rPr>
          <w:i/>
        </w:rPr>
        <w:t>v</w:t>
      </w:r>
      <w:r w:rsidR="003965DF" w:rsidRPr="00A921E5">
        <w:rPr>
          <w:i/>
        </w:rPr>
        <w:t xml:space="preserve">ision for </w:t>
      </w:r>
      <w:r w:rsidR="006D60A9" w:rsidRPr="00A921E5">
        <w:rPr>
          <w:i/>
        </w:rPr>
        <w:t xml:space="preserve">the </w:t>
      </w:r>
      <w:r w:rsidR="003965DF" w:rsidRPr="00A921E5">
        <w:rPr>
          <w:i/>
        </w:rPr>
        <w:t>EU</w:t>
      </w:r>
      <w:r w:rsidRPr="00A921E5">
        <w:rPr>
          <w:i/>
        </w:rPr>
        <w:t>'s</w:t>
      </w:r>
      <w:r w:rsidR="003965DF" w:rsidRPr="00A921E5">
        <w:rPr>
          <w:i/>
        </w:rPr>
        <w:t xml:space="preserve"> </w:t>
      </w:r>
      <w:r w:rsidR="006D60A9" w:rsidRPr="00A921E5">
        <w:rPr>
          <w:i/>
        </w:rPr>
        <w:t>r</w:t>
      </w:r>
      <w:r w:rsidR="003965DF" w:rsidRPr="00A921E5">
        <w:rPr>
          <w:i/>
        </w:rPr>
        <w:t xml:space="preserve">ural </w:t>
      </w:r>
      <w:r w:rsidR="006D60A9" w:rsidRPr="00A921E5">
        <w:rPr>
          <w:i/>
        </w:rPr>
        <w:t>a</w:t>
      </w:r>
      <w:r w:rsidR="003965DF" w:rsidRPr="00A921E5">
        <w:rPr>
          <w:i/>
        </w:rPr>
        <w:t>reas 2040</w:t>
      </w:r>
      <w:r w:rsidR="003965DF" w:rsidRPr="00A921E5">
        <w:t xml:space="preserve"> </w:t>
      </w:r>
      <w:r w:rsidRPr="00A921E5">
        <w:t>(LTVRA)</w:t>
      </w:r>
      <w:r w:rsidRPr="00A921E5">
        <w:rPr>
          <w:rStyle w:val="FootnoteReference"/>
        </w:rPr>
        <w:footnoteReference w:id="1"/>
      </w:r>
      <w:r w:rsidR="003965DF" w:rsidRPr="00A921E5">
        <w:t>, which will support territorial cohesion and create new opportunities to attract innovative businesses, ensure access to quality jobs, promote new and better skills, ensure better infrastructure and services and strengthen the role of sustainable agriculture and diversified economic activities.</w:t>
      </w:r>
    </w:p>
    <w:p w14:paraId="1E411D81" w14:textId="77777777" w:rsidR="00770D7F" w:rsidRPr="00A921E5" w:rsidRDefault="00770D7F" w:rsidP="00371A81"/>
    <w:p w14:paraId="2AC2AF0F" w14:textId="27E238E0" w:rsidR="003965DF" w:rsidRPr="00A921E5" w:rsidRDefault="003965DF" w:rsidP="003965DF">
      <w:pPr>
        <w:pStyle w:val="Heading1"/>
        <w:ind w:left="567" w:hanging="567"/>
      </w:pPr>
      <w:r w:rsidRPr="00A921E5">
        <w:t xml:space="preserve">Considers </w:t>
      </w:r>
      <w:r w:rsidR="00E03FDB" w:rsidRPr="00A921E5">
        <w:t xml:space="preserve">that </w:t>
      </w:r>
      <w:r w:rsidRPr="00A921E5">
        <w:t xml:space="preserve">achievement of carbon neutrality by 2050 </w:t>
      </w:r>
      <w:r w:rsidR="00E03FDB" w:rsidRPr="00A921E5">
        <w:t xml:space="preserve">through the European Green Deal is </w:t>
      </w:r>
      <w:r w:rsidRPr="00A921E5">
        <w:t xml:space="preserve">essential for </w:t>
      </w:r>
      <w:r w:rsidR="00E03FDB" w:rsidRPr="00A921E5">
        <w:t xml:space="preserve">growing </w:t>
      </w:r>
      <w:r w:rsidRPr="00A921E5">
        <w:t xml:space="preserve">prosperity of </w:t>
      </w:r>
      <w:r w:rsidR="003F0688" w:rsidRPr="00A921E5">
        <w:t xml:space="preserve">the </w:t>
      </w:r>
      <w:r w:rsidRPr="00A921E5">
        <w:t xml:space="preserve">European society, maintaining good conditions for life in the EU and supporting innovation that will lead to the achievement of this goal and ensure the EU's competitiveness on </w:t>
      </w:r>
      <w:r w:rsidR="00D82134" w:rsidRPr="00A921E5">
        <w:t>the</w:t>
      </w:r>
      <w:r w:rsidRPr="00A921E5">
        <w:t xml:space="preserve"> global scale.</w:t>
      </w:r>
    </w:p>
    <w:p w14:paraId="3A8FFEAC" w14:textId="77777777" w:rsidR="00770D7F" w:rsidRPr="00A921E5" w:rsidRDefault="00770D7F" w:rsidP="00371A81"/>
    <w:p w14:paraId="09C298BC" w14:textId="4B1B5B25" w:rsidR="003965DF" w:rsidRPr="00A921E5" w:rsidRDefault="003965DF" w:rsidP="003965DF">
      <w:pPr>
        <w:pStyle w:val="Heading1"/>
        <w:ind w:left="567" w:hanging="567"/>
      </w:pPr>
      <w:r w:rsidRPr="00A921E5">
        <w:t>Recogni</w:t>
      </w:r>
      <w:r w:rsidR="00D82134" w:rsidRPr="00A921E5">
        <w:t>s</w:t>
      </w:r>
      <w:r w:rsidRPr="00A921E5">
        <w:t>es that the COVID</w:t>
      </w:r>
      <w:r w:rsidR="00D82134" w:rsidRPr="00A921E5">
        <w:t>-</w:t>
      </w:r>
      <w:r w:rsidRPr="00A921E5">
        <w:t>19 pandemic and Russia</w:t>
      </w:r>
      <w:r w:rsidR="00D82134" w:rsidRPr="00A921E5">
        <w:t>'s</w:t>
      </w:r>
      <w:r w:rsidRPr="00A921E5">
        <w:t xml:space="preserve"> aggression against Ukraine have shown </w:t>
      </w:r>
      <w:r w:rsidR="00D82134" w:rsidRPr="00A921E5">
        <w:t xml:space="preserve">the </w:t>
      </w:r>
      <w:r w:rsidRPr="00A921E5">
        <w:t xml:space="preserve">extraordinary need for resilience at </w:t>
      </w:r>
      <w:r w:rsidR="00FA5192" w:rsidRPr="00A921E5">
        <w:t>all levels within the EU</w:t>
      </w:r>
      <w:r w:rsidR="00D82134" w:rsidRPr="00A921E5">
        <w:t xml:space="preserve"> – by</w:t>
      </w:r>
      <w:r w:rsidR="00FA5192" w:rsidRPr="00A921E5">
        <w:t xml:space="preserve"> </w:t>
      </w:r>
      <w:r w:rsidRPr="00A921E5">
        <w:t xml:space="preserve">municipalities, cities, regions and </w:t>
      </w:r>
      <w:r w:rsidR="00D82134" w:rsidRPr="00A921E5">
        <w:t>M</w:t>
      </w:r>
      <w:r w:rsidR="00FA5192" w:rsidRPr="00A921E5">
        <w:t xml:space="preserve">ember </w:t>
      </w:r>
      <w:r w:rsidR="00D82134" w:rsidRPr="00A921E5">
        <w:t>S</w:t>
      </w:r>
      <w:r w:rsidRPr="00A921E5">
        <w:t>tates.</w:t>
      </w:r>
    </w:p>
    <w:p w14:paraId="5BFC8C81" w14:textId="77777777" w:rsidR="00770D7F" w:rsidRPr="00A921E5" w:rsidRDefault="00770D7F" w:rsidP="00371A81"/>
    <w:p w14:paraId="096A2650" w14:textId="73846A76" w:rsidR="003965DF" w:rsidRPr="00A921E5" w:rsidRDefault="007A30B6" w:rsidP="003965DF">
      <w:pPr>
        <w:pStyle w:val="Heading1"/>
        <w:ind w:left="567" w:hanging="567"/>
      </w:pPr>
      <w:r w:rsidRPr="00A921E5">
        <w:t>C</w:t>
      </w:r>
      <w:r w:rsidR="00FA5192" w:rsidRPr="00A921E5">
        <w:t>onsiders</w:t>
      </w:r>
      <w:r w:rsidR="003965DF" w:rsidRPr="00A921E5">
        <w:t xml:space="preserve"> that the implementation of a number of sectoral and cross-cutting strategies and policies</w:t>
      </w:r>
      <w:r w:rsidR="00385B1D" w:rsidRPr="00A921E5">
        <w:rPr>
          <w:rStyle w:val="FootnoteReference"/>
        </w:rPr>
        <w:footnoteReference w:id="2"/>
      </w:r>
      <w:r w:rsidR="003965DF" w:rsidRPr="00A921E5">
        <w:t xml:space="preserve"> twinning the green and digital transition</w:t>
      </w:r>
      <w:r w:rsidR="00FA5192" w:rsidRPr="00A921E5">
        <w:t>s</w:t>
      </w:r>
      <w:r w:rsidR="003965DF" w:rsidRPr="00A921E5">
        <w:t xml:space="preserve"> in the new geopolitical context</w:t>
      </w:r>
      <w:r w:rsidR="00385B1D" w:rsidRPr="00A921E5">
        <w:rPr>
          <w:rStyle w:val="FootnoteReference"/>
        </w:rPr>
        <w:footnoteReference w:id="3"/>
      </w:r>
      <w:r w:rsidR="003965DF" w:rsidRPr="00A921E5">
        <w:t xml:space="preserve"> </w:t>
      </w:r>
      <w:r w:rsidR="00FA5192" w:rsidRPr="00A921E5">
        <w:t>is key to achieving</w:t>
      </w:r>
      <w:r w:rsidR="003965DF" w:rsidRPr="00A921E5">
        <w:t xml:space="preserve"> major European goals.</w:t>
      </w:r>
    </w:p>
    <w:p w14:paraId="17F06A17" w14:textId="77777777" w:rsidR="00770D7F" w:rsidRPr="00A921E5" w:rsidRDefault="00770D7F" w:rsidP="00371A81"/>
    <w:p w14:paraId="484C7F83" w14:textId="11C3EB51" w:rsidR="003965DF" w:rsidRPr="00A921E5" w:rsidRDefault="003965DF" w:rsidP="003965DF">
      <w:pPr>
        <w:pStyle w:val="Heading1"/>
        <w:ind w:left="567" w:hanging="567"/>
      </w:pPr>
      <w:r w:rsidRPr="00A921E5">
        <w:t xml:space="preserve">Is convinced, in the spirit of the </w:t>
      </w:r>
      <w:proofErr w:type="spellStart"/>
      <w:r w:rsidRPr="00A921E5">
        <w:t>Lednice</w:t>
      </w:r>
      <w:proofErr w:type="spellEnd"/>
      <w:r w:rsidRPr="00A921E5">
        <w:t xml:space="preserve"> Declaration</w:t>
      </w:r>
      <w:r w:rsidR="00FA5192" w:rsidRPr="00A921E5">
        <w:rPr>
          <w:rStyle w:val="FootnoteReference"/>
        </w:rPr>
        <w:footnoteReference w:id="4"/>
      </w:r>
      <w:r w:rsidRPr="00A921E5">
        <w:t xml:space="preserve">, that all these plans, activities and support can lead to a common goal only if they are </w:t>
      </w:r>
      <w:r w:rsidR="00385B1D" w:rsidRPr="00A921E5">
        <w:t xml:space="preserve">addressed </w:t>
      </w:r>
      <w:r w:rsidRPr="00A921E5">
        <w:t>holistically and implemented for the benefit</w:t>
      </w:r>
      <w:r w:rsidR="003403EC" w:rsidRPr="00A921E5">
        <w:t xml:space="preserve"> </w:t>
      </w:r>
      <w:r w:rsidRPr="00A921E5">
        <w:t>of all EU residents and the entire EU territory</w:t>
      </w:r>
      <w:r w:rsidR="00C72746" w:rsidRPr="00A921E5">
        <w:t xml:space="preserve"> using all available EU funds, policies and tools.</w:t>
      </w:r>
    </w:p>
    <w:p w14:paraId="24273D9F" w14:textId="77777777" w:rsidR="00770D7F" w:rsidRPr="00A921E5" w:rsidRDefault="00770D7F" w:rsidP="00371A81"/>
    <w:p w14:paraId="47D929CE" w14:textId="0D0B1A1F" w:rsidR="003965DF" w:rsidRPr="00A921E5" w:rsidRDefault="003965DF" w:rsidP="003965DF">
      <w:pPr>
        <w:pStyle w:val="Heading1"/>
        <w:ind w:left="567" w:hanging="567"/>
      </w:pPr>
      <w:r w:rsidRPr="00A921E5">
        <w:t xml:space="preserve">Is convinced that rural areas must be appreciated as a space without which it is impossible to achieve long-term sustainable development of the EU in the spirit of the above-mentioned </w:t>
      </w:r>
      <w:r w:rsidR="00385B1D" w:rsidRPr="00A921E5">
        <w:t>objectives</w:t>
      </w:r>
      <w:r w:rsidRPr="00A921E5">
        <w:t>.</w:t>
      </w:r>
    </w:p>
    <w:p w14:paraId="7DF5BEBF" w14:textId="77777777" w:rsidR="00770D7F" w:rsidRPr="00A921E5" w:rsidRDefault="00770D7F" w:rsidP="00371A81"/>
    <w:p w14:paraId="15E6EDAD" w14:textId="0A4C6FFC" w:rsidR="00770D7F" w:rsidRPr="00A921E5" w:rsidRDefault="003965DF">
      <w:pPr>
        <w:pStyle w:val="Heading1"/>
        <w:ind w:left="567" w:hanging="567"/>
      </w:pPr>
      <w:r w:rsidRPr="00A921E5">
        <w:t xml:space="preserve">Underlines that </w:t>
      </w:r>
      <w:r w:rsidR="00385B1D" w:rsidRPr="00A921E5">
        <w:t xml:space="preserve">the </w:t>
      </w:r>
      <w:r w:rsidRPr="00A921E5">
        <w:t xml:space="preserve">Smart Villages concept is an innovative EU policy and a rural development tool that </w:t>
      </w:r>
      <w:r w:rsidR="003734FE" w:rsidRPr="00A921E5">
        <w:t xml:space="preserve">can </w:t>
      </w:r>
      <w:r w:rsidRPr="00A921E5">
        <w:t xml:space="preserve">help bring about </w:t>
      </w:r>
      <w:r w:rsidR="00C26991" w:rsidRPr="00A921E5">
        <w:t xml:space="preserve">the </w:t>
      </w:r>
      <w:r w:rsidRPr="00A921E5">
        <w:t xml:space="preserve">rural revival which is the </w:t>
      </w:r>
      <w:r w:rsidR="00385B1D" w:rsidRPr="00A921E5">
        <w:t xml:space="preserve">essential </w:t>
      </w:r>
      <w:r w:rsidRPr="00A921E5">
        <w:t xml:space="preserve">goal of the </w:t>
      </w:r>
      <w:r w:rsidR="00385B1D" w:rsidRPr="00A921E5">
        <w:t>LTVRA</w:t>
      </w:r>
      <w:r w:rsidR="00C26991" w:rsidRPr="00A921E5">
        <w:t>.</w:t>
      </w:r>
    </w:p>
    <w:p w14:paraId="4A1C1329" w14:textId="77777777" w:rsidR="003965DF" w:rsidRPr="00A921E5" w:rsidRDefault="003965DF" w:rsidP="00371A81">
      <w:pPr>
        <w:rPr>
          <w:iCs/>
        </w:rPr>
      </w:pPr>
    </w:p>
    <w:p w14:paraId="3217D88C" w14:textId="77777777" w:rsidR="003965DF" w:rsidRPr="00A921E5" w:rsidRDefault="003965DF" w:rsidP="003965DF">
      <w:pPr>
        <w:keepNext/>
        <w:rPr>
          <w:i/>
        </w:rPr>
      </w:pPr>
      <w:r w:rsidRPr="00A921E5">
        <w:rPr>
          <w:i/>
        </w:rPr>
        <w:lastRenderedPageBreak/>
        <w:t>The current state indicates our vulnerability</w:t>
      </w:r>
    </w:p>
    <w:p w14:paraId="57DB45BB" w14:textId="77777777" w:rsidR="003965DF" w:rsidRPr="00A921E5" w:rsidRDefault="003965DF" w:rsidP="003965DF">
      <w:pPr>
        <w:keepNext/>
        <w:rPr>
          <w:iCs/>
        </w:rPr>
      </w:pPr>
    </w:p>
    <w:p w14:paraId="619C7495" w14:textId="0E5CD1CE" w:rsidR="003965DF" w:rsidRPr="00A921E5" w:rsidRDefault="007A30B6" w:rsidP="003965DF">
      <w:pPr>
        <w:pStyle w:val="Heading1"/>
        <w:ind w:left="567" w:hanging="567"/>
      </w:pPr>
      <w:r w:rsidRPr="00A921E5">
        <w:t>R</w:t>
      </w:r>
      <w:r w:rsidR="001B1D87" w:rsidRPr="00A921E5">
        <w:t>ecogni</w:t>
      </w:r>
      <w:r w:rsidR="00C26991" w:rsidRPr="00A921E5">
        <w:t>s</w:t>
      </w:r>
      <w:r w:rsidR="001B1D87" w:rsidRPr="00A921E5">
        <w:t>es</w:t>
      </w:r>
      <w:r w:rsidR="003965DF" w:rsidRPr="00A921E5">
        <w:t xml:space="preserve"> the vulnerability of the EU in all three pillars of sustainable development –</w:t>
      </w:r>
      <w:r w:rsidR="00C26991" w:rsidRPr="00A921E5">
        <w:t xml:space="preserve"> </w:t>
      </w:r>
      <w:r w:rsidR="003965DF" w:rsidRPr="00A921E5">
        <w:t xml:space="preserve">society, </w:t>
      </w:r>
      <w:r w:rsidR="00385B1D" w:rsidRPr="00A921E5">
        <w:t xml:space="preserve">the </w:t>
      </w:r>
      <w:r w:rsidR="003965DF" w:rsidRPr="00A921E5">
        <w:t>environment an</w:t>
      </w:r>
      <w:r w:rsidR="00385B1D" w:rsidRPr="00A921E5">
        <w:t>d the</w:t>
      </w:r>
      <w:r w:rsidR="003965DF" w:rsidRPr="00A921E5">
        <w:t xml:space="preserve"> economy.</w:t>
      </w:r>
    </w:p>
    <w:p w14:paraId="38F0AE32" w14:textId="77777777" w:rsidR="00770D7F" w:rsidRPr="00A921E5" w:rsidRDefault="00770D7F" w:rsidP="00371A81"/>
    <w:p w14:paraId="4A31703D" w14:textId="19E99651" w:rsidR="003965DF" w:rsidRPr="00A921E5" w:rsidRDefault="003965DF" w:rsidP="003965DF">
      <w:pPr>
        <w:pStyle w:val="Heading1"/>
        <w:ind w:left="567" w:hanging="567"/>
      </w:pPr>
      <w:r w:rsidRPr="00A921E5">
        <w:t>Emphasi</w:t>
      </w:r>
      <w:r w:rsidR="00C26991" w:rsidRPr="00A921E5">
        <w:t>s</w:t>
      </w:r>
      <w:r w:rsidRPr="00A921E5">
        <w:t xml:space="preserve">es that rural areas make up 80% of the territory </w:t>
      </w:r>
      <w:r w:rsidR="00C26991" w:rsidRPr="00A921E5">
        <w:t xml:space="preserve">of the EU </w:t>
      </w:r>
      <w:r w:rsidRPr="00A921E5">
        <w:t>and are home to 30% of the EU population.</w:t>
      </w:r>
    </w:p>
    <w:p w14:paraId="128803C2" w14:textId="77777777" w:rsidR="00770D7F" w:rsidRPr="00A921E5" w:rsidRDefault="00770D7F" w:rsidP="00371A81"/>
    <w:p w14:paraId="65ABB484" w14:textId="31386A08" w:rsidR="003965DF" w:rsidRPr="00A921E5" w:rsidRDefault="007A30B6" w:rsidP="003965DF">
      <w:pPr>
        <w:pStyle w:val="Heading1"/>
        <w:ind w:left="567" w:hanging="567"/>
      </w:pPr>
      <w:r w:rsidRPr="00A921E5">
        <w:t>R</w:t>
      </w:r>
      <w:r w:rsidR="001B1D87" w:rsidRPr="00A921E5">
        <w:t>ecogni</w:t>
      </w:r>
      <w:r w:rsidR="00C26991" w:rsidRPr="00A921E5">
        <w:t>s</w:t>
      </w:r>
      <w:r w:rsidR="001B1D87" w:rsidRPr="00A921E5">
        <w:t>es</w:t>
      </w:r>
      <w:r w:rsidR="003965DF" w:rsidRPr="00A921E5">
        <w:t xml:space="preserve"> the difference in living conditions between rural and urban areas</w:t>
      </w:r>
      <w:r w:rsidRPr="00A921E5">
        <w:t>.</w:t>
      </w:r>
    </w:p>
    <w:p w14:paraId="1F1740FF" w14:textId="77777777" w:rsidR="00770D7F" w:rsidRPr="00A921E5" w:rsidRDefault="00770D7F" w:rsidP="00371A81"/>
    <w:p w14:paraId="3504275D" w14:textId="54143EDC" w:rsidR="003965DF" w:rsidRPr="00A921E5" w:rsidRDefault="007A30B6" w:rsidP="007A30B6">
      <w:pPr>
        <w:pStyle w:val="Heading1"/>
        <w:ind w:left="567" w:hanging="567"/>
        <w:rPr>
          <w:szCs w:val="22"/>
        </w:rPr>
      </w:pPr>
      <w:r w:rsidRPr="00A921E5">
        <w:rPr>
          <w:szCs w:val="22"/>
        </w:rPr>
        <w:t>Perceives the risks arising from the potential lack of energy from non-European sources, high soil erosion in a number of EU countries and the potential lack of water.</w:t>
      </w:r>
    </w:p>
    <w:p w14:paraId="27BC71EA" w14:textId="77777777" w:rsidR="00770D7F" w:rsidRPr="00A921E5" w:rsidRDefault="00770D7F" w:rsidP="00371A81"/>
    <w:p w14:paraId="7B66E33D" w14:textId="5C488F1E" w:rsidR="003965DF" w:rsidRPr="00A921E5" w:rsidRDefault="007A30B6" w:rsidP="003965DF">
      <w:pPr>
        <w:pStyle w:val="Heading1"/>
        <w:ind w:left="567" w:hanging="567"/>
      </w:pPr>
      <w:r w:rsidRPr="00A921E5">
        <w:t>U</w:t>
      </w:r>
      <w:r w:rsidR="001B1D87" w:rsidRPr="00A921E5">
        <w:t xml:space="preserve">nderlines </w:t>
      </w:r>
      <w:r w:rsidR="003965DF" w:rsidRPr="00A921E5">
        <w:t>the necessity of adapting the EU</w:t>
      </w:r>
      <w:r w:rsidR="00C26991" w:rsidRPr="00A921E5">
        <w:t>'s</w:t>
      </w:r>
      <w:r w:rsidR="003965DF" w:rsidRPr="00A921E5">
        <w:t xml:space="preserve"> territory to climate change, the need for </w:t>
      </w:r>
      <w:r w:rsidR="001B1D87" w:rsidRPr="00A921E5">
        <w:t>ensuring</w:t>
      </w:r>
      <w:r w:rsidR="003965DF" w:rsidRPr="00A921E5">
        <w:t xml:space="preserve"> biodiversity as well as the need </w:t>
      </w:r>
      <w:r w:rsidR="00C26991" w:rsidRPr="00A921E5">
        <w:t xml:space="preserve">for </w:t>
      </w:r>
      <w:r w:rsidR="003965DF" w:rsidRPr="00A921E5">
        <w:t>extended use of renewable energy sources.</w:t>
      </w:r>
    </w:p>
    <w:p w14:paraId="6A008384" w14:textId="77777777" w:rsidR="00770D7F" w:rsidRPr="00A921E5" w:rsidRDefault="00770D7F" w:rsidP="00371A81"/>
    <w:p w14:paraId="6FD4C803" w14:textId="66A76669" w:rsidR="003965DF" w:rsidRPr="00A921E5" w:rsidRDefault="003965DF" w:rsidP="003965DF">
      <w:pPr>
        <w:pStyle w:val="Heading1"/>
        <w:ind w:left="567" w:hanging="567"/>
      </w:pPr>
      <w:r w:rsidRPr="00A921E5">
        <w:t xml:space="preserve">Points out that many </w:t>
      </w:r>
      <w:r w:rsidR="00C26991" w:rsidRPr="00A921E5">
        <w:t xml:space="preserve">of </w:t>
      </w:r>
      <w:r w:rsidR="00934B76" w:rsidRPr="00A921E5">
        <w:t xml:space="preserve">these </w:t>
      </w:r>
      <w:r w:rsidRPr="00A921E5">
        <w:t xml:space="preserve">fundamental </w:t>
      </w:r>
      <w:r w:rsidR="00934B76" w:rsidRPr="00A921E5">
        <w:t xml:space="preserve">challenges </w:t>
      </w:r>
      <w:r w:rsidR="00C26991" w:rsidRPr="00A921E5">
        <w:t xml:space="preserve">facing </w:t>
      </w:r>
      <w:r w:rsidRPr="00A921E5">
        <w:t>the EU cannot be solved other than by proper support for rural areas</w:t>
      </w:r>
      <w:r w:rsidR="00C26991" w:rsidRPr="00A921E5">
        <w:t>,</w:t>
      </w:r>
      <w:r w:rsidRPr="00A921E5">
        <w:t xml:space="preserve"> which is still insufficient</w:t>
      </w:r>
      <w:r w:rsidR="00C26991" w:rsidRPr="00A921E5">
        <w:t>.</w:t>
      </w:r>
    </w:p>
    <w:p w14:paraId="0DDD5CE3" w14:textId="77777777" w:rsidR="00770D7F" w:rsidRPr="00A921E5" w:rsidRDefault="00770D7F" w:rsidP="00371A81"/>
    <w:p w14:paraId="5B6F7147" w14:textId="30A86F3B" w:rsidR="00934B76" w:rsidRPr="00A921E5" w:rsidRDefault="007A30B6" w:rsidP="00934B76">
      <w:pPr>
        <w:pStyle w:val="Heading1"/>
        <w:ind w:left="567" w:hanging="567"/>
      </w:pPr>
      <w:r w:rsidRPr="00A921E5">
        <w:t>I</w:t>
      </w:r>
      <w:r w:rsidR="00934B76" w:rsidRPr="00A921E5">
        <w:t>s concerned about the lack of access to digiti</w:t>
      </w:r>
      <w:r w:rsidR="00C26991" w:rsidRPr="00A921E5">
        <w:t>s</w:t>
      </w:r>
      <w:r w:rsidR="00934B76" w:rsidRPr="00A921E5">
        <w:t xml:space="preserve">ation </w:t>
      </w:r>
      <w:r w:rsidR="000B73AB" w:rsidRPr="00A921E5">
        <w:t xml:space="preserve">and shortcomings in infrastructure and services, </w:t>
      </w:r>
      <w:r w:rsidR="00934B76" w:rsidRPr="00A921E5">
        <w:t>which limit the economic development of rural areas.</w:t>
      </w:r>
      <w:r w:rsidR="000B73AB" w:rsidRPr="00A921E5">
        <w:t xml:space="preserve"> </w:t>
      </w:r>
      <w:r w:rsidR="00785549" w:rsidRPr="00A921E5">
        <w:t>Maintaining a vibrant countryside requires providing the conditions for remote work and for businesses to be able to get established and operate on an equal footing with those in urban areas. Stable, high-quality connectivity would allow both high-tech, data-intensive enterprises and manufacturing industries to operate in sparsely populated areas. Today, there are significant differences in access to connectivity, with rural and sparsely populated areas far behind urban areas and cities. The possibility of providing welfare services via broadband or mobile networks is very important to municipalities and regions and requires better coverage and higher network transmission speeds. In municipalities with poor connectivity, citizens are at risk of digital exclusion.</w:t>
      </w:r>
    </w:p>
    <w:p w14:paraId="659A054F" w14:textId="77777777" w:rsidR="00770D7F" w:rsidRPr="00A921E5" w:rsidRDefault="00770D7F" w:rsidP="00371A81"/>
    <w:p w14:paraId="510A136D" w14:textId="7F07CE57" w:rsidR="003965DF" w:rsidRPr="00A921E5" w:rsidRDefault="00934B76" w:rsidP="003965DF">
      <w:pPr>
        <w:pStyle w:val="Heading1"/>
        <w:ind w:left="567" w:hanging="567"/>
      </w:pPr>
      <w:r w:rsidRPr="00A921E5">
        <w:t xml:space="preserve">Reiterates </w:t>
      </w:r>
      <w:r w:rsidR="003965DF" w:rsidRPr="00A921E5">
        <w:t>that the labour market is fundamentally changing due to digiti</w:t>
      </w:r>
      <w:r w:rsidR="00C26991" w:rsidRPr="00A921E5">
        <w:t>s</w:t>
      </w:r>
      <w:r w:rsidR="003965DF" w:rsidRPr="00A921E5">
        <w:t>ation</w:t>
      </w:r>
      <w:r w:rsidRPr="00A921E5">
        <w:t xml:space="preserve"> and </w:t>
      </w:r>
      <w:r w:rsidR="00C26991" w:rsidRPr="00A921E5">
        <w:t>that</w:t>
      </w:r>
      <w:r w:rsidR="00DF17B9" w:rsidRPr="00A921E5">
        <w:t xml:space="preserve"> </w:t>
      </w:r>
      <w:r w:rsidRPr="00A921E5">
        <w:t>in 2040, 40% of the EU population of working age will have a higher education</w:t>
      </w:r>
      <w:r w:rsidRPr="00A921E5">
        <w:rPr>
          <w:rStyle w:val="FootnoteReference"/>
        </w:rPr>
        <w:footnoteReference w:id="5"/>
      </w:r>
      <w:r w:rsidRPr="00A921E5">
        <w:t>, with the predominance of the "digital" generation Y and Z on the labour market</w:t>
      </w:r>
      <w:r w:rsidR="003965DF" w:rsidRPr="00A921E5">
        <w:t>.</w:t>
      </w:r>
    </w:p>
    <w:p w14:paraId="38881ACA" w14:textId="77777777" w:rsidR="00770D7F" w:rsidRPr="00A921E5" w:rsidRDefault="00770D7F" w:rsidP="00371A81"/>
    <w:p w14:paraId="0A980BA7" w14:textId="6983E679" w:rsidR="003965DF" w:rsidRPr="00A921E5" w:rsidRDefault="003965DF" w:rsidP="003965DF">
      <w:pPr>
        <w:pStyle w:val="Heading1"/>
        <w:ind w:left="567" w:hanging="567"/>
      </w:pPr>
      <w:r w:rsidRPr="00A921E5">
        <w:t xml:space="preserve">Is convinced that examples of the implementation of the concept of smart villages show the importance of this new instrument of change </w:t>
      </w:r>
      <w:r w:rsidR="00E55A87" w:rsidRPr="00A921E5">
        <w:t xml:space="preserve">for a </w:t>
      </w:r>
      <w:r w:rsidRPr="00A921E5">
        <w:t>holistic approach to people and the territory</w:t>
      </w:r>
      <w:r w:rsidR="00934B76" w:rsidRPr="00A921E5">
        <w:rPr>
          <w:rStyle w:val="FootnoteReference"/>
        </w:rPr>
        <w:footnoteReference w:id="6"/>
      </w:r>
      <w:r w:rsidR="00B0087E" w:rsidRPr="00A921E5">
        <w:t>,</w:t>
      </w:r>
      <w:r w:rsidR="00E55A87" w:rsidRPr="00A921E5">
        <w:t xml:space="preserve"> </w:t>
      </w:r>
      <w:r w:rsidR="00B0087E" w:rsidRPr="00A921E5">
        <w:t>connecting smart municipalities, smart cities and smart regions in a smart EU</w:t>
      </w:r>
      <w:r w:rsidRPr="00A921E5">
        <w:t>.</w:t>
      </w:r>
    </w:p>
    <w:p w14:paraId="4CF7A3DA" w14:textId="77777777" w:rsidR="003965DF" w:rsidRPr="00A921E5" w:rsidRDefault="003965DF" w:rsidP="003965DF">
      <w:pPr>
        <w:keepNext/>
        <w:rPr>
          <w:iCs/>
        </w:rPr>
      </w:pPr>
    </w:p>
    <w:p w14:paraId="5355BBBC" w14:textId="77777777" w:rsidR="003965DF" w:rsidRPr="00A921E5" w:rsidRDefault="003965DF" w:rsidP="003965DF">
      <w:pPr>
        <w:keepNext/>
        <w:rPr>
          <w:i/>
        </w:rPr>
      </w:pPr>
      <w:r w:rsidRPr="00A921E5">
        <w:rPr>
          <w:i/>
        </w:rPr>
        <w:t>Call to action</w:t>
      </w:r>
    </w:p>
    <w:p w14:paraId="1B0FF776" w14:textId="77777777" w:rsidR="003965DF" w:rsidRPr="00A921E5" w:rsidRDefault="003965DF" w:rsidP="003965DF">
      <w:pPr>
        <w:keepNext/>
        <w:rPr>
          <w:iCs/>
        </w:rPr>
      </w:pPr>
    </w:p>
    <w:p w14:paraId="4BFAAEF7" w14:textId="10450050" w:rsidR="003965DF" w:rsidRPr="00A921E5" w:rsidRDefault="003965DF" w:rsidP="003965DF">
      <w:pPr>
        <w:pStyle w:val="Heading1"/>
        <w:ind w:left="567" w:hanging="567"/>
      </w:pPr>
      <w:r w:rsidRPr="00A921E5">
        <w:t>Is convinced that the prosperity of the EU depends on the quality of its entire territory and the creation of comparable conditions for the life of its citizens of every age, every education and every social status in every part of the EU.</w:t>
      </w:r>
    </w:p>
    <w:p w14:paraId="4229B675" w14:textId="77777777" w:rsidR="00770D7F" w:rsidRPr="00A921E5" w:rsidRDefault="00770D7F" w:rsidP="00371A81"/>
    <w:p w14:paraId="6B171391" w14:textId="6390791A" w:rsidR="003965DF" w:rsidRPr="00A921E5" w:rsidRDefault="003965DF" w:rsidP="003965DF">
      <w:pPr>
        <w:pStyle w:val="Heading1"/>
        <w:ind w:left="567" w:hanging="567"/>
      </w:pPr>
      <w:r w:rsidRPr="00A921E5">
        <w:t xml:space="preserve">Calls therefore </w:t>
      </w:r>
      <w:r w:rsidR="003734FE" w:rsidRPr="00A921E5">
        <w:t xml:space="preserve">on </w:t>
      </w:r>
      <w:r w:rsidRPr="00A921E5">
        <w:t xml:space="preserve">the European Commission </w:t>
      </w:r>
      <w:r w:rsidR="003734FE" w:rsidRPr="00A921E5">
        <w:t xml:space="preserve">and the co-legislators </w:t>
      </w:r>
      <w:r w:rsidRPr="00A921E5">
        <w:t>to adopt a holistic view of EU development</w:t>
      </w:r>
      <w:r w:rsidR="003734FE" w:rsidRPr="00A921E5">
        <w:t xml:space="preserve"> which acknowledges that</w:t>
      </w:r>
      <w:r w:rsidRPr="00A921E5">
        <w:t xml:space="preserve"> the development of rural areas is vital for </w:t>
      </w:r>
      <w:r w:rsidR="003734FE" w:rsidRPr="00A921E5">
        <w:t xml:space="preserve">all </w:t>
      </w:r>
      <w:r w:rsidRPr="00A921E5">
        <w:t>EU citizens.</w:t>
      </w:r>
    </w:p>
    <w:p w14:paraId="3882B350" w14:textId="77777777" w:rsidR="00770D7F" w:rsidRPr="00A921E5" w:rsidRDefault="00770D7F" w:rsidP="00371A81"/>
    <w:p w14:paraId="6853B4A8" w14:textId="3DBF34B1" w:rsidR="003965DF" w:rsidRPr="00A921E5" w:rsidRDefault="00B0087E" w:rsidP="00B0087E">
      <w:pPr>
        <w:pStyle w:val="Heading1"/>
        <w:ind w:left="567" w:hanging="567"/>
      </w:pPr>
      <w:r w:rsidRPr="00A921E5">
        <w:t xml:space="preserve">Invites the EU institutions, Member States and regions to harness the full potential of </w:t>
      </w:r>
      <w:r w:rsidR="003965DF" w:rsidRPr="00A921E5">
        <w:t xml:space="preserve">the smart village concept </w:t>
      </w:r>
      <w:r w:rsidRPr="00A921E5">
        <w:t>as</w:t>
      </w:r>
      <w:r w:rsidR="003965DF" w:rsidRPr="00A921E5">
        <w:t xml:space="preserve"> a new, innovative tool for the European policy and for the development of rural areas</w:t>
      </w:r>
      <w:r w:rsidRPr="00A921E5">
        <w:t xml:space="preserve">; </w:t>
      </w:r>
      <w:r w:rsidR="003965DF" w:rsidRPr="00A921E5">
        <w:t xml:space="preserve">digital and technological transformations provide new challenges and opportunities to </w:t>
      </w:r>
      <w:r w:rsidR="00CD4A14" w:rsidRPr="00A921E5">
        <w:t xml:space="preserve">also </w:t>
      </w:r>
      <w:r w:rsidR="003965DF" w:rsidRPr="00A921E5">
        <w:t>bring a higher quality of life and services to rural areas. They create new opportunities for a diversified rural economy and access to the job market. As a result, they can help to address current demographic challenges, keep young people in rural areas and reverse the tides of depopulation and brain drain.</w:t>
      </w:r>
    </w:p>
    <w:p w14:paraId="6B9FA1C6" w14:textId="77777777" w:rsidR="00770D7F" w:rsidRPr="00A921E5" w:rsidRDefault="00770D7F" w:rsidP="00371A81"/>
    <w:p w14:paraId="6E466D44" w14:textId="0C651CC5" w:rsidR="003965DF" w:rsidRPr="00A921E5" w:rsidRDefault="003965DF" w:rsidP="003965DF">
      <w:pPr>
        <w:pStyle w:val="Heading1"/>
        <w:ind w:left="567" w:hanging="567"/>
      </w:pPr>
      <w:r w:rsidRPr="00A921E5">
        <w:t xml:space="preserve">Calls </w:t>
      </w:r>
      <w:r w:rsidR="00B0087E" w:rsidRPr="00A921E5">
        <w:t>for more</w:t>
      </w:r>
      <w:r w:rsidRPr="00A921E5">
        <w:t xml:space="preserve"> support of rural areas </w:t>
      </w:r>
      <w:r w:rsidR="00B0087E" w:rsidRPr="00A921E5">
        <w:t xml:space="preserve">at the European and </w:t>
      </w:r>
      <w:r w:rsidR="00CD4A14" w:rsidRPr="00A921E5">
        <w:t>M</w:t>
      </w:r>
      <w:r w:rsidR="00B0087E" w:rsidRPr="00A921E5">
        <w:t xml:space="preserve">ember </w:t>
      </w:r>
      <w:r w:rsidR="00CD4A14" w:rsidRPr="00A921E5">
        <w:t>S</w:t>
      </w:r>
      <w:r w:rsidR="00B0087E" w:rsidRPr="00A921E5">
        <w:t>tate level</w:t>
      </w:r>
      <w:r w:rsidR="00CD4A14" w:rsidRPr="00A921E5">
        <w:t>s</w:t>
      </w:r>
      <w:r w:rsidR="00B0087E" w:rsidRPr="00A921E5">
        <w:t xml:space="preserve"> </w:t>
      </w:r>
      <w:r w:rsidRPr="00A921E5">
        <w:t xml:space="preserve">in order to enable the development of smart </w:t>
      </w:r>
      <w:r w:rsidR="00C72746" w:rsidRPr="00A921E5">
        <w:t>villages</w:t>
      </w:r>
      <w:r w:rsidR="00B0087E" w:rsidRPr="00A921E5">
        <w:t xml:space="preserve"> and functioning urban-rural linkages</w:t>
      </w:r>
      <w:r w:rsidRPr="00A921E5">
        <w:t xml:space="preserve"> </w:t>
      </w:r>
      <w:r w:rsidR="00732F8D" w:rsidRPr="000A74E6">
        <w:rPr>
          <w:b/>
          <w:bCs/>
          <w:i/>
        </w:rPr>
        <w:t xml:space="preserve">– </w:t>
      </w:r>
      <w:r w:rsidR="00732F8D" w:rsidRPr="00732F8D">
        <w:rPr>
          <w:iCs/>
        </w:rPr>
        <w:t>with special focus on mountainous, border, outermost, economically, socially and demographically endangered rural areas and islands, which are all to be treated as particularly vulnerable –</w:t>
      </w:r>
      <w:r w:rsidR="00732F8D" w:rsidRPr="000A74E6">
        <w:t xml:space="preserve"> </w:t>
      </w:r>
      <w:r w:rsidRPr="00A921E5">
        <w:t xml:space="preserve">where the conditions for life are as much as possible </w:t>
      </w:r>
      <w:r w:rsidR="00B0087E" w:rsidRPr="00A921E5">
        <w:t xml:space="preserve">comparable to those </w:t>
      </w:r>
      <w:r w:rsidRPr="00A921E5">
        <w:t>in urban areas</w:t>
      </w:r>
      <w:r w:rsidR="00CD4A14" w:rsidRPr="00A921E5">
        <w:t>,</w:t>
      </w:r>
      <w:r w:rsidRPr="00A921E5">
        <w:t xml:space="preserve"> and rural areas are considered </w:t>
      </w:r>
      <w:r w:rsidR="00B0087E" w:rsidRPr="00A921E5">
        <w:t>as a cultural territory managed from smart villages with a diversified economy, an integral and non-negligible part of which is agriculture</w:t>
      </w:r>
      <w:r w:rsidRPr="00A921E5">
        <w:t>.</w:t>
      </w:r>
    </w:p>
    <w:p w14:paraId="2A797E3E" w14:textId="77777777" w:rsidR="00770D7F" w:rsidRPr="00A921E5" w:rsidRDefault="00770D7F" w:rsidP="00371A81"/>
    <w:p w14:paraId="79679760" w14:textId="48BFEDCB" w:rsidR="0038693F" w:rsidRPr="00A921E5" w:rsidRDefault="000B73AB" w:rsidP="003965DF">
      <w:pPr>
        <w:pStyle w:val="Heading1"/>
        <w:ind w:left="567" w:hanging="567"/>
      </w:pPr>
      <w:r w:rsidRPr="00A921E5">
        <w:t xml:space="preserve">Insists that all EU policies should promote the attractiveness of these areas and protect their quality of life and the rural population by ensuring equal access to basic services and opportunities. This concerns not just cohesion policy but also the EU's agricultural, single market, competition, environmental and energy policies and should take account of </w:t>
      </w:r>
      <w:r w:rsidR="003965DF" w:rsidRPr="00A921E5">
        <w:t>the changing technological possibilities and changes in society, triggered by efforts to achieve pan-European goals</w:t>
      </w:r>
      <w:r w:rsidR="00CD4A14" w:rsidRPr="00A921E5">
        <w:t>.</w:t>
      </w:r>
    </w:p>
    <w:p w14:paraId="6B5CC5B8" w14:textId="77777777" w:rsidR="00770D7F" w:rsidRPr="00A921E5" w:rsidRDefault="00770D7F" w:rsidP="00371A81"/>
    <w:p w14:paraId="1EDABA8C" w14:textId="72902A51" w:rsidR="003965DF" w:rsidRPr="00A921E5" w:rsidRDefault="0038693F" w:rsidP="003965DF">
      <w:pPr>
        <w:pStyle w:val="Heading1"/>
        <w:ind w:left="567" w:hanging="567"/>
      </w:pPr>
      <w:r w:rsidRPr="00A921E5">
        <w:t>Suggests</w:t>
      </w:r>
      <w:r w:rsidR="003965DF" w:rsidRPr="00A921E5">
        <w:t xml:space="preserve"> </w:t>
      </w:r>
      <w:r w:rsidRPr="00A921E5">
        <w:t xml:space="preserve">applying </w:t>
      </w:r>
      <w:r w:rsidR="003965DF" w:rsidRPr="00A921E5">
        <w:t>seven principles when creating smart villages:</w:t>
      </w:r>
    </w:p>
    <w:p w14:paraId="1FB4573F" w14:textId="77777777" w:rsidR="00770D7F" w:rsidRPr="00A921E5" w:rsidRDefault="00770D7F" w:rsidP="00371A81"/>
    <w:p w14:paraId="4833559D" w14:textId="061269E7" w:rsidR="003965DF" w:rsidRPr="00182CEB" w:rsidRDefault="003965DF" w:rsidP="00182CEB">
      <w:pPr>
        <w:pStyle w:val="ListParagraph"/>
        <w:numPr>
          <w:ilvl w:val="0"/>
          <w:numId w:val="35"/>
        </w:numPr>
        <w:ind w:left="1134" w:hanging="567"/>
        <w:rPr>
          <w:iCs/>
        </w:rPr>
      </w:pPr>
      <w:r w:rsidRPr="00182CEB">
        <w:rPr>
          <w:iCs/>
        </w:rPr>
        <w:t>the principle of change of direction, where changing technological tools allow people to work remotely from home or from their community and get services at home</w:t>
      </w:r>
      <w:r w:rsidR="00D6715C" w:rsidRPr="00182CEB">
        <w:rPr>
          <w:iCs/>
        </w:rPr>
        <w:t>;</w:t>
      </w:r>
    </w:p>
    <w:p w14:paraId="7468502F" w14:textId="0B757EA4" w:rsidR="003965DF" w:rsidRPr="00182CEB" w:rsidRDefault="003965DF" w:rsidP="00182CEB">
      <w:pPr>
        <w:pStyle w:val="ListParagraph"/>
        <w:numPr>
          <w:ilvl w:val="0"/>
          <w:numId w:val="35"/>
        </w:numPr>
        <w:ind w:left="1134" w:hanging="567"/>
        <w:rPr>
          <w:iCs/>
        </w:rPr>
      </w:pPr>
      <w:r w:rsidRPr="00182CEB">
        <w:rPr>
          <w:iCs/>
        </w:rPr>
        <w:t>the principle of short distances, which leads to local production and consumption, using the 3E</w:t>
      </w:r>
      <w:r w:rsidR="00277E35" w:rsidRPr="00182CEB">
        <w:rPr>
          <w:iCs/>
        </w:rPr>
        <w:t xml:space="preserve"> principles</w:t>
      </w:r>
      <w:r w:rsidR="00277E35" w:rsidRPr="00A921E5">
        <w:rPr>
          <w:rStyle w:val="FootnoteReference"/>
          <w:iCs/>
        </w:rPr>
        <w:footnoteReference w:id="7"/>
      </w:r>
      <w:r w:rsidR="00D6715C" w:rsidRPr="00182CEB">
        <w:rPr>
          <w:iCs/>
        </w:rPr>
        <w:t>;</w:t>
      </w:r>
    </w:p>
    <w:p w14:paraId="60D90758" w14:textId="35880423" w:rsidR="003965DF" w:rsidRPr="00182CEB" w:rsidRDefault="003965DF" w:rsidP="00182CEB">
      <w:pPr>
        <w:pStyle w:val="ListParagraph"/>
        <w:numPr>
          <w:ilvl w:val="0"/>
          <w:numId w:val="35"/>
        </w:numPr>
        <w:ind w:left="1134" w:hanging="567"/>
        <w:rPr>
          <w:iCs/>
        </w:rPr>
      </w:pPr>
      <w:r w:rsidRPr="00182CEB">
        <w:rPr>
          <w:iCs/>
        </w:rPr>
        <w:t>the principle of resilience of people and communities, the local economy and the environment</w:t>
      </w:r>
      <w:r w:rsidR="00D6715C" w:rsidRPr="00182CEB">
        <w:rPr>
          <w:iCs/>
        </w:rPr>
        <w:t>;</w:t>
      </w:r>
    </w:p>
    <w:p w14:paraId="00FBA6F2" w14:textId="3E139326" w:rsidR="003965DF" w:rsidRPr="00182CEB" w:rsidRDefault="003965DF" w:rsidP="00182CEB">
      <w:pPr>
        <w:pStyle w:val="ListParagraph"/>
        <w:numPr>
          <w:ilvl w:val="0"/>
          <w:numId w:val="35"/>
        </w:numPr>
        <w:ind w:left="1134" w:hanging="567"/>
        <w:rPr>
          <w:iCs/>
        </w:rPr>
      </w:pPr>
      <w:r w:rsidRPr="00182CEB">
        <w:rPr>
          <w:iCs/>
        </w:rPr>
        <w:t>the principle of one solution with several equivalent effects, i.e. a holistic approach</w:t>
      </w:r>
      <w:r w:rsidR="00D6715C" w:rsidRPr="00182CEB">
        <w:rPr>
          <w:iCs/>
        </w:rPr>
        <w:t>;</w:t>
      </w:r>
    </w:p>
    <w:p w14:paraId="51403B93" w14:textId="1000E9E1" w:rsidR="003965DF" w:rsidRPr="00182CEB" w:rsidRDefault="003965DF" w:rsidP="00182CEB">
      <w:pPr>
        <w:pStyle w:val="ListParagraph"/>
        <w:numPr>
          <w:ilvl w:val="0"/>
          <w:numId w:val="35"/>
        </w:numPr>
        <w:ind w:left="1134" w:hanging="567"/>
        <w:rPr>
          <w:iCs/>
        </w:rPr>
      </w:pPr>
      <w:r w:rsidRPr="00182CEB">
        <w:rPr>
          <w:iCs/>
        </w:rPr>
        <w:lastRenderedPageBreak/>
        <w:t>the principle of cooperation to achieve effective solutions, connecting municipalities to solve issues of common interest, which is not bound by the administrative boundaries of regions</w:t>
      </w:r>
      <w:r w:rsidR="00D6715C" w:rsidRPr="00182CEB">
        <w:rPr>
          <w:iCs/>
        </w:rPr>
        <w:t>;</w:t>
      </w:r>
    </w:p>
    <w:p w14:paraId="283A4FF2" w14:textId="0E1924BF" w:rsidR="003965DF" w:rsidRPr="00182CEB" w:rsidRDefault="003965DF" w:rsidP="00182CEB">
      <w:pPr>
        <w:pStyle w:val="ListParagraph"/>
        <w:numPr>
          <w:ilvl w:val="0"/>
          <w:numId w:val="35"/>
        </w:numPr>
        <w:ind w:left="1134" w:hanging="567"/>
        <w:rPr>
          <w:iCs/>
        </w:rPr>
      </w:pPr>
      <w:r w:rsidRPr="00182CEB">
        <w:rPr>
          <w:iCs/>
        </w:rPr>
        <w:t>the principle of cohesion and complementarity, when smart villages and smart cities in smart regions are developed through cooperation in the territory both horizontally and vertically, opportunities are equali</w:t>
      </w:r>
      <w:r w:rsidR="00CD4A14" w:rsidRPr="00182CEB">
        <w:rPr>
          <w:iCs/>
        </w:rPr>
        <w:t>s</w:t>
      </w:r>
      <w:r w:rsidRPr="00182CEB">
        <w:rPr>
          <w:iCs/>
        </w:rPr>
        <w:t>ed and tensions are reduced</w:t>
      </w:r>
      <w:r w:rsidR="00D6715C" w:rsidRPr="00182CEB">
        <w:rPr>
          <w:iCs/>
        </w:rPr>
        <w:t>;</w:t>
      </w:r>
    </w:p>
    <w:p w14:paraId="6019B82D" w14:textId="75A37C37" w:rsidR="003965DF" w:rsidRPr="00182CEB" w:rsidRDefault="003965DF" w:rsidP="00182CEB">
      <w:pPr>
        <w:pStyle w:val="ListParagraph"/>
        <w:numPr>
          <w:ilvl w:val="0"/>
          <w:numId w:val="35"/>
        </w:numPr>
        <w:ind w:left="1134" w:hanging="567"/>
        <w:rPr>
          <w:iCs/>
        </w:rPr>
      </w:pPr>
      <w:r w:rsidRPr="00182CEB">
        <w:rPr>
          <w:iCs/>
        </w:rPr>
        <w:t>the principle of "evidence-based" decision-making based on open data and transparency of procedures, where data generated with support from public sources are available to public administration, citizens and entrepreneurs in the interest of new solutions for the development of good conditions for people's lives, communities and for business</w:t>
      </w:r>
      <w:r w:rsidR="00CD4A14" w:rsidRPr="00182CEB">
        <w:rPr>
          <w:iCs/>
        </w:rPr>
        <w:t>.</w:t>
      </w:r>
    </w:p>
    <w:p w14:paraId="6295D3B7" w14:textId="77777777" w:rsidR="00770D7F" w:rsidRPr="00A921E5" w:rsidRDefault="00770D7F" w:rsidP="00371A81">
      <w:pPr>
        <w:rPr>
          <w:iCs/>
        </w:rPr>
      </w:pPr>
    </w:p>
    <w:p w14:paraId="55BB7834" w14:textId="548E5CA7" w:rsidR="003965DF" w:rsidRPr="00A921E5" w:rsidRDefault="0038693F" w:rsidP="003965DF">
      <w:pPr>
        <w:pStyle w:val="Heading1"/>
        <w:ind w:left="567" w:hanging="567"/>
      </w:pPr>
      <w:r w:rsidRPr="00A921E5">
        <w:t>Considers</w:t>
      </w:r>
      <w:r w:rsidR="003965DF" w:rsidRPr="00A921E5">
        <w:t xml:space="preserve"> that this approach will require a number of new solutions, tailored to different regions and specific rural areas, which also means significant support for </w:t>
      </w:r>
      <w:r w:rsidRPr="00A921E5">
        <w:t xml:space="preserve">innovation, </w:t>
      </w:r>
      <w:r w:rsidR="003965DF" w:rsidRPr="00A921E5">
        <w:t>research and development both at the European and Member State levels.</w:t>
      </w:r>
    </w:p>
    <w:p w14:paraId="794B965B" w14:textId="77777777" w:rsidR="00770D7F" w:rsidRPr="00A921E5" w:rsidRDefault="00770D7F" w:rsidP="00371A81"/>
    <w:p w14:paraId="13FF4546" w14:textId="7AA73245" w:rsidR="003965DF" w:rsidRPr="00A921E5" w:rsidRDefault="0038693F" w:rsidP="003965DF">
      <w:pPr>
        <w:pStyle w:val="Heading1"/>
        <w:ind w:left="567" w:hanging="567"/>
      </w:pPr>
      <w:r w:rsidRPr="00A921E5">
        <w:t xml:space="preserve">Points out the importance of providing </w:t>
      </w:r>
      <w:r w:rsidR="003965DF" w:rsidRPr="00A921E5">
        <w:t xml:space="preserve">services to </w:t>
      </w:r>
      <w:r w:rsidRPr="00A921E5">
        <w:t xml:space="preserve">all </w:t>
      </w:r>
      <w:r w:rsidR="003965DF" w:rsidRPr="00A921E5">
        <w:t xml:space="preserve">citizens in every EU location within a time limit </w:t>
      </w:r>
      <w:r w:rsidRPr="00A921E5">
        <w:t>to</w:t>
      </w:r>
      <w:r w:rsidR="003965DF" w:rsidRPr="00A921E5">
        <w:t xml:space="preserve"> be determined based on the characteristics of individual rural areas</w:t>
      </w:r>
      <w:r w:rsidRPr="00A921E5">
        <w:t>. Support for</w:t>
      </w:r>
      <w:r w:rsidR="003965DF" w:rsidRPr="00A921E5">
        <w:t xml:space="preserve"> research and development for all areas of life in a changing "smart" rural environment will be </w:t>
      </w:r>
      <w:r w:rsidRPr="00A921E5">
        <w:t>necessary</w:t>
      </w:r>
      <w:r w:rsidR="003965DF" w:rsidRPr="00A921E5">
        <w:t>.</w:t>
      </w:r>
    </w:p>
    <w:p w14:paraId="7B407A86" w14:textId="77777777" w:rsidR="00770D7F" w:rsidRPr="00A921E5" w:rsidRDefault="00770D7F" w:rsidP="00371A81"/>
    <w:p w14:paraId="431154DD" w14:textId="60148653" w:rsidR="003965DF" w:rsidRPr="00A921E5" w:rsidRDefault="003965DF" w:rsidP="003965DF">
      <w:pPr>
        <w:pStyle w:val="Heading1"/>
        <w:ind w:left="567" w:hanging="567"/>
      </w:pPr>
      <w:r w:rsidRPr="00A921E5">
        <w:t xml:space="preserve">Requests that the infrastructure should be built compliant with this criterion, </w:t>
      </w:r>
      <w:r w:rsidR="0038693F" w:rsidRPr="00A921E5">
        <w:t xml:space="preserve">taking into account </w:t>
      </w:r>
      <w:r w:rsidRPr="00A921E5">
        <w:t>that the development of road and rail transport infrastructure is as important as the development of 5G networks and related digital infrastructure.</w:t>
      </w:r>
    </w:p>
    <w:p w14:paraId="0E720E40" w14:textId="77777777" w:rsidR="00770D7F" w:rsidRPr="00A921E5" w:rsidRDefault="00770D7F" w:rsidP="00371A81"/>
    <w:p w14:paraId="0AF1723D" w14:textId="3BF6E4D1" w:rsidR="003965DF" w:rsidRPr="00A921E5" w:rsidRDefault="003965DF" w:rsidP="003965DF">
      <w:pPr>
        <w:pStyle w:val="Heading1"/>
        <w:ind w:left="567" w:hanging="567"/>
      </w:pPr>
      <w:r w:rsidRPr="00A921E5">
        <w:t xml:space="preserve">Requests intensive support for rural areas to fulfil the 2030 policy program </w:t>
      </w:r>
      <w:r w:rsidR="00CD4A14" w:rsidRPr="00A921E5">
        <w:t>I</w:t>
      </w:r>
      <w:r w:rsidR="00A16CAC" w:rsidRPr="00A921E5">
        <w:rPr>
          <w:rStyle w:val="FootnoteReference"/>
          <w:szCs w:val="24"/>
        </w:rPr>
        <w:footnoteReference w:id="8"/>
      </w:r>
      <w:r w:rsidRPr="00A921E5">
        <w:t xml:space="preserve">, especially strengthening digital skills and education, secure and sustainable digital infrastructures, </w:t>
      </w:r>
      <w:r w:rsidR="00CD4A14" w:rsidRPr="00A921E5">
        <w:t xml:space="preserve">the </w:t>
      </w:r>
      <w:r w:rsidRPr="00A921E5">
        <w:t>digital transformation of businesses and digitalisation of public services.</w:t>
      </w:r>
      <w:r w:rsidR="00A16CAC" w:rsidRPr="00A921E5">
        <w:t xml:space="preserve"> Welcomes the inclusion of rural areas in the European Declaration on Digital Rights and Principles for the Digital Decade</w:t>
      </w:r>
      <w:r w:rsidR="00A16CAC" w:rsidRPr="00A921E5">
        <w:rPr>
          <w:rStyle w:val="FootnoteReference"/>
        </w:rPr>
        <w:footnoteReference w:id="9"/>
      </w:r>
      <w:r w:rsidR="00770D7F" w:rsidRPr="00A921E5">
        <w:t>.</w:t>
      </w:r>
    </w:p>
    <w:p w14:paraId="454216A8" w14:textId="77777777" w:rsidR="00770D7F" w:rsidRPr="00A921E5" w:rsidRDefault="00770D7F" w:rsidP="00371A81"/>
    <w:p w14:paraId="78FD971C" w14:textId="09B50085" w:rsidR="007567D7" w:rsidRPr="00A921E5" w:rsidRDefault="007567D7" w:rsidP="003965DF">
      <w:pPr>
        <w:pStyle w:val="Heading1"/>
        <w:ind w:left="567" w:hanging="567"/>
      </w:pPr>
      <w:r w:rsidRPr="00A921E5">
        <w:t>Emphasi</w:t>
      </w:r>
      <w:r w:rsidR="00CD4A14" w:rsidRPr="00A921E5">
        <w:t>s</w:t>
      </w:r>
      <w:r w:rsidRPr="00A921E5">
        <w:t>es the need to prevent the emergence of digitally excluded communities and digitally excluded localities so as not to deepen differences in society.</w:t>
      </w:r>
    </w:p>
    <w:p w14:paraId="0265867D" w14:textId="77777777" w:rsidR="00770D7F" w:rsidRPr="00A921E5" w:rsidRDefault="00770D7F" w:rsidP="00371A81"/>
    <w:p w14:paraId="6BB83A5E" w14:textId="7FE19294" w:rsidR="003965DF" w:rsidRPr="00A921E5" w:rsidRDefault="003965DF" w:rsidP="003965DF">
      <w:pPr>
        <w:pStyle w:val="Heading1"/>
        <w:ind w:left="567" w:hanging="567"/>
      </w:pPr>
      <w:r w:rsidRPr="00A921E5">
        <w:t xml:space="preserve">Requests that all realistically available RES </w:t>
      </w:r>
      <w:r w:rsidR="00A16CAC" w:rsidRPr="00A921E5">
        <w:t xml:space="preserve">(renewable energy sources) </w:t>
      </w:r>
      <w:r w:rsidRPr="00A921E5">
        <w:t>potential</w:t>
      </w:r>
      <w:r w:rsidR="00CD4A14" w:rsidRPr="00A921E5">
        <w:t>ly existing</w:t>
      </w:r>
      <w:r w:rsidRPr="00A921E5">
        <w:t xml:space="preserve"> in the territory should be used and the locali</w:t>
      </w:r>
      <w:r w:rsidR="00CD4A14" w:rsidRPr="00A921E5">
        <w:t>s</w:t>
      </w:r>
      <w:r w:rsidRPr="00A921E5">
        <w:t>ation of energy production and consumption be supported massively (development of "prosumers").</w:t>
      </w:r>
    </w:p>
    <w:p w14:paraId="6E020792" w14:textId="77777777" w:rsidR="00770D7F" w:rsidRPr="00A921E5" w:rsidRDefault="00770D7F" w:rsidP="00371A81"/>
    <w:p w14:paraId="15A4086F" w14:textId="279E82BE" w:rsidR="003965DF" w:rsidRPr="00A921E5" w:rsidRDefault="003965DF" w:rsidP="003965DF">
      <w:pPr>
        <w:pStyle w:val="Heading1"/>
        <w:ind w:left="567" w:hanging="567"/>
      </w:pPr>
      <w:r w:rsidRPr="00A921E5">
        <w:t xml:space="preserve">Requests that energy-efficient construction and </w:t>
      </w:r>
      <w:r w:rsidR="00A16CAC" w:rsidRPr="00A921E5">
        <w:t xml:space="preserve">renovation </w:t>
      </w:r>
      <w:r w:rsidRPr="00A921E5">
        <w:t>of housing in rural areas should be supported in order to create good conditions for existing residents and the arrival of new people.</w:t>
      </w:r>
    </w:p>
    <w:p w14:paraId="070A8B84" w14:textId="77777777" w:rsidR="00770D7F" w:rsidRPr="00A921E5" w:rsidRDefault="00770D7F" w:rsidP="00371A81"/>
    <w:p w14:paraId="50E44D89" w14:textId="69F59F7E" w:rsidR="003965DF" w:rsidRPr="00A921E5" w:rsidRDefault="003965DF" w:rsidP="003965DF">
      <w:pPr>
        <w:pStyle w:val="Heading1"/>
        <w:ind w:left="567" w:hanging="567"/>
      </w:pPr>
      <w:r w:rsidRPr="00A921E5">
        <w:t xml:space="preserve">Calls for </w:t>
      </w:r>
      <w:r w:rsidR="00A16CAC" w:rsidRPr="00A921E5">
        <w:t xml:space="preserve">better </w:t>
      </w:r>
      <w:r w:rsidRPr="00A921E5">
        <w:t>conditions to be created for the development of diversified small and medium-sized businesses and for start-ups to become a natural part of the development of smart municipalities in rural areas.</w:t>
      </w:r>
    </w:p>
    <w:p w14:paraId="0EF4A368" w14:textId="77777777" w:rsidR="00770D7F" w:rsidRPr="00A921E5" w:rsidRDefault="00770D7F" w:rsidP="00371A81"/>
    <w:p w14:paraId="617F57FC" w14:textId="54873370" w:rsidR="003965DF" w:rsidRPr="00A921E5" w:rsidRDefault="003965DF" w:rsidP="003965DF">
      <w:pPr>
        <w:pStyle w:val="Heading1"/>
        <w:ind w:left="567" w:hanging="567"/>
      </w:pPr>
      <w:r w:rsidRPr="00A921E5">
        <w:lastRenderedPageBreak/>
        <w:t>Understands the initiative of start</w:t>
      </w:r>
      <w:r w:rsidR="003403EC" w:rsidRPr="00A921E5">
        <w:t>-</w:t>
      </w:r>
      <w:r w:rsidRPr="00A921E5">
        <w:t>up villages as an important part of developing smart villages in their economic pillar.</w:t>
      </w:r>
    </w:p>
    <w:p w14:paraId="61CD2780" w14:textId="77777777" w:rsidR="00770D7F" w:rsidRPr="00A921E5" w:rsidRDefault="00770D7F" w:rsidP="00371A81"/>
    <w:p w14:paraId="6D5F48DE" w14:textId="0E0E7C89" w:rsidR="003965DF" w:rsidRPr="00A921E5" w:rsidRDefault="003965DF" w:rsidP="003965DF">
      <w:pPr>
        <w:pStyle w:val="Heading1"/>
        <w:ind w:left="567" w:hanging="567"/>
      </w:pPr>
      <w:r w:rsidRPr="00A921E5">
        <w:t>Emphasi</w:t>
      </w:r>
      <w:r w:rsidR="00CD4A14" w:rsidRPr="00A921E5">
        <w:t>s</w:t>
      </w:r>
      <w:r w:rsidRPr="00A921E5">
        <w:t>es that the implementation of smart speciali</w:t>
      </w:r>
      <w:r w:rsidR="00CD4A14" w:rsidRPr="00A921E5">
        <w:t>s</w:t>
      </w:r>
      <w:r w:rsidRPr="00A921E5">
        <w:t>ation strategies is equally important for innovation throughout the EU, including rural areas.</w:t>
      </w:r>
    </w:p>
    <w:p w14:paraId="42580A29" w14:textId="77777777" w:rsidR="00770D7F" w:rsidRPr="00A921E5" w:rsidRDefault="00770D7F" w:rsidP="00371A81"/>
    <w:p w14:paraId="7B7B632F" w14:textId="4AD290B5" w:rsidR="003965DF" w:rsidRPr="00A921E5" w:rsidRDefault="003965DF" w:rsidP="003965DF">
      <w:pPr>
        <w:pStyle w:val="Heading1"/>
        <w:ind w:left="567" w:hanging="567"/>
      </w:pPr>
      <w:r w:rsidRPr="00A921E5">
        <w:t>Calls for the development of "good governance", includ</w:t>
      </w:r>
      <w:r w:rsidR="00CA013C" w:rsidRPr="00A921E5">
        <w:t>ing</w:t>
      </w:r>
      <w:r w:rsidRPr="00A921E5">
        <w:t xml:space="preserve"> digital public administration, </w:t>
      </w:r>
      <w:r w:rsidR="00CA013C" w:rsidRPr="00A921E5">
        <w:t xml:space="preserve">which </w:t>
      </w:r>
      <w:r w:rsidRPr="00A921E5">
        <w:t>will enable people in rural areas to remotely access municipal, regional and state services.</w:t>
      </w:r>
      <w:r w:rsidR="00E7402B" w:rsidRPr="00182CEB">
        <w:rPr>
          <w:bCs/>
          <w:iCs/>
        </w:rPr>
        <w:t xml:space="preserve"> </w:t>
      </w:r>
      <w:r w:rsidR="00E7402B" w:rsidRPr="00A921E5">
        <w:t>This must be accompanied by streamlined administration.</w:t>
      </w:r>
    </w:p>
    <w:p w14:paraId="76FCB6B5" w14:textId="77777777" w:rsidR="00770D7F" w:rsidRPr="00A921E5" w:rsidRDefault="00770D7F" w:rsidP="00371A81"/>
    <w:p w14:paraId="4798E9B3" w14:textId="3BF43D16" w:rsidR="003965DF" w:rsidRPr="00A921E5" w:rsidRDefault="003965DF" w:rsidP="003965DF">
      <w:pPr>
        <w:pStyle w:val="Heading1"/>
        <w:ind w:left="567" w:hanging="567"/>
      </w:pPr>
      <w:r w:rsidRPr="00A921E5">
        <w:t>Calls for education to be accessible to all ages, both physically on</w:t>
      </w:r>
      <w:r w:rsidR="00CA013C" w:rsidRPr="00A921E5">
        <w:t>-</w:t>
      </w:r>
      <w:r w:rsidRPr="00A921E5">
        <w:t>site and through remote access, as well as for the development</w:t>
      </w:r>
      <w:r w:rsidR="00CA013C" w:rsidRPr="00A921E5">
        <w:t xml:space="preserve"> of</w:t>
      </w:r>
      <w:r w:rsidRPr="00A921E5">
        <w:t xml:space="preserve"> community centres with a range of services from libraries to social work.</w:t>
      </w:r>
    </w:p>
    <w:p w14:paraId="6EC29D8F" w14:textId="77777777" w:rsidR="00770D7F" w:rsidRPr="00A921E5" w:rsidRDefault="00770D7F" w:rsidP="00371A81"/>
    <w:p w14:paraId="504A59F5" w14:textId="3972544A" w:rsidR="003965DF" w:rsidRPr="00A921E5" w:rsidRDefault="003965DF" w:rsidP="003965DF">
      <w:pPr>
        <w:pStyle w:val="Heading1"/>
        <w:ind w:left="567" w:hanging="567"/>
      </w:pPr>
      <w:r w:rsidRPr="00A921E5">
        <w:t>Calls for quality healthcare and social care to be decentrali</w:t>
      </w:r>
      <w:r w:rsidR="00CA013C" w:rsidRPr="00A921E5">
        <w:t>s</w:t>
      </w:r>
      <w:r w:rsidRPr="00A921E5">
        <w:t>ed, interconnected and organi</w:t>
      </w:r>
      <w:r w:rsidR="00CA013C" w:rsidRPr="00A921E5">
        <w:t>s</w:t>
      </w:r>
      <w:r w:rsidRPr="00A921E5">
        <w:t>ed so that people can live in their homes throughout their lives.</w:t>
      </w:r>
    </w:p>
    <w:p w14:paraId="31F9BDC8" w14:textId="77777777" w:rsidR="00770D7F" w:rsidRPr="00A921E5" w:rsidRDefault="00770D7F" w:rsidP="00371A81"/>
    <w:p w14:paraId="4F69F55A" w14:textId="2CEFA9A7" w:rsidR="003965DF" w:rsidRPr="00A921E5" w:rsidRDefault="003965DF" w:rsidP="003965DF">
      <w:pPr>
        <w:pStyle w:val="Heading1"/>
        <w:ind w:left="567" w:hanging="567"/>
      </w:pPr>
      <w:r w:rsidRPr="00A921E5">
        <w:t>Notes that it is very useful to develop the possibilities of telemedicine, in general eHealth</w:t>
      </w:r>
      <w:r w:rsidR="00CA013C" w:rsidRPr="00A921E5">
        <w:t>,</w:t>
      </w:r>
      <w:r w:rsidRPr="00A921E5">
        <w:t xml:space="preserve"> </w:t>
      </w:r>
      <w:r w:rsidR="00CA013C" w:rsidRPr="00A921E5">
        <w:t>and also</w:t>
      </w:r>
      <w:r w:rsidRPr="00A921E5">
        <w:t xml:space="preserve"> of new fields (e.g. virtual reality), which can help in a number of areas from professional education to social care.</w:t>
      </w:r>
    </w:p>
    <w:p w14:paraId="56A9E80D" w14:textId="77777777" w:rsidR="00770D7F" w:rsidRPr="00A921E5" w:rsidRDefault="00770D7F" w:rsidP="00371A81"/>
    <w:p w14:paraId="2EF6665F" w14:textId="16335F7A" w:rsidR="003965DF" w:rsidRPr="00A921E5" w:rsidRDefault="003965DF" w:rsidP="003965DF">
      <w:pPr>
        <w:pStyle w:val="Heading1"/>
        <w:ind w:left="567" w:hanging="567"/>
      </w:pPr>
      <w:r w:rsidRPr="00A921E5">
        <w:t>Calls for an integrated rescue system to function not only within individual Member States, but also through mutual cooperation across borders, especially in border areas, thus enabling a quick response to emergencies.</w:t>
      </w:r>
    </w:p>
    <w:p w14:paraId="4BE29430" w14:textId="77777777" w:rsidR="00770D7F" w:rsidRPr="00A921E5" w:rsidRDefault="00770D7F" w:rsidP="00371A81"/>
    <w:p w14:paraId="3DC21AD6" w14:textId="014C27D7" w:rsidR="003965DF" w:rsidRPr="00A921E5" w:rsidRDefault="003965DF" w:rsidP="00411255">
      <w:pPr>
        <w:pStyle w:val="Heading1"/>
        <w:ind w:left="567" w:hanging="567"/>
      </w:pPr>
      <w:r w:rsidRPr="00A921E5">
        <w:t>Requests support for the development of modern agriculture and the bioeconomy (in coastal areas of the blue economy), for the responsible management of raw materials and materials in the sense of the circular economy.</w:t>
      </w:r>
      <w:r w:rsidR="00411255" w:rsidRPr="00A921E5">
        <w:t xml:space="preserve"> Is convinced that agroforestry, smart agriculture, aquaponics and other fields and practices will ease the work of people in agriculture and also increase Europe's food self-sufficiency and help fight erosion.</w:t>
      </w:r>
    </w:p>
    <w:p w14:paraId="3EB835AD" w14:textId="77777777" w:rsidR="00770D7F" w:rsidRPr="00A921E5" w:rsidRDefault="00770D7F" w:rsidP="00371A81"/>
    <w:p w14:paraId="5A8C52CA" w14:textId="31B40D97" w:rsidR="003965DF" w:rsidRPr="00A921E5" w:rsidRDefault="003965DF" w:rsidP="003965DF">
      <w:pPr>
        <w:pStyle w:val="Heading1"/>
        <w:ind w:left="567" w:hanging="567"/>
      </w:pPr>
      <w:r w:rsidRPr="00A921E5">
        <w:t>Asks that an expected increase in the number of people work</w:t>
      </w:r>
      <w:r w:rsidR="00A16CAC" w:rsidRPr="00A921E5">
        <w:t>ing in qualified jobs</w:t>
      </w:r>
      <w:r w:rsidRPr="00A921E5">
        <w:t xml:space="preserve"> regardless of location (e.g. people in creative fields) and </w:t>
      </w:r>
      <w:r w:rsidR="00A16CAC" w:rsidRPr="00A921E5">
        <w:t>making</w:t>
      </w:r>
      <w:r w:rsidRPr="00A921E5">
        <w:t xml:space="preserve"> rural areas their home should be taken into account.</w:t>
      </w:r>
    </w:p>
    <w:p w14:paraId="637A2D66" w14:textId="77777777" w:rsidR="00770D7F" w:rsidRPr="00A921E5" w:rsidRDefault="00770D7F" w:rsidP="00371A81"/>
    <w:p w14:paraId="5451016C" w14:textId="7B1A4D3D" w:rsidR="003965DF" w:rsidRPr="00A921E5" w:rsidRDefault="003965DF" w:rsidP="003965DF">
      <w:pPr>
        <w:pStyle w:val="Heading1"/>
        <w:ind w:left="567" w:hanging="567"/>
      </w:pPr>
      <w:r w:rsidRPr="00A921E5">
        <w:t xml:space="preserve">Requests that new solutions in the area should be supported with the understanding that the New European Bauhaus does not only apply to cities, but also to the creation of a landscape </w:t>
      </w:r>
      <w:r w:rsidR="00CA013C" w:rsidRPr="00A921E5">
        <w:t xml:space="preserve">whose </w:t>
      </w:r>
      <w:r w:rsidRPr="00A921E5">
        <w:t>diversity is taken into account, remembering the necessity of preserving and developing biodiversity</w:t>
      </w:r>
      <w:r w:rsidR="00CA013C" w:rsidRPr="00A921E5">
        <w:t>.</w:t>
      </w:r>
    </w:p>
    <w:p w14:paraId="0A2345A6" w14:textId="77777777" w:rsidR="00770D7F" w:rsidRPr="00A921E5" w:rsidRDefault="00770D7F" w:rsidP="00371A81"/>
    <w:p w14:paraId="413A8335" w14:textId="41BB01FF" w:rsidR="003965DF" w:rsidRPr="00A921E5" w:rsidRDefault="003965DF" w:rsidP="00DF17B9">
      <w:pPr>
        <w:pStyle w:val="Heading1"/>
        <w:ind w:left="567" w:hanging="567"/>
      </w:pPr>
      <w:r w:rsidRPr="00A921E5">
        <w:t>Requests that financial consideration should be given to the fact that the ability to adapt to climate change, the maintaining of biodiversity and of the quality of forests primarily depend on the smart development of rural areas.</w:t>
      </w:r>
      <w:r w:rsidR="00DF17B9" w:rsidRPr="00A921E5">
        <w:t xml:space="preserve"> Points out </w:t>
      </w:r>
      <w:r w:rsidR="00411255" w:rsidRPr="00A921E5">
        <w:t>the potential of</w:t>
      </w:r>
      <w:r w:rsidRPr="00A921E5">
        <w:t xml:space="preserve"> decentrali</w:t>
      </w:r>
      <w:r w:rsidR="002F4FB1" w:rsidRPr="00A921E5">
        <w:t>s</w:t>
      </w:r>
      <w:r w:rsidRPr="00A921E5">
        <w:t>ed water treatment in small municipalities</w:t>
      </w:r>
      <w:r w:rsidR="00411255" w:rsidRPr="00A921E5">
        <w:t xml:space="preserve"> for improving water retention in the landscape</w:t>
      </w:r>
      <w:r w:rsidRPr="00A921E5">
        <w:t>.</w:t>
      </w:r>
    </w:p>
    <w:p w14:paraId="21A6B291" w14:textId="77777777" w:rsidR="00DF17B9" w:rsidRPr="00A921E5" w:rsidRDefault="00DF17B9" w:rsidP="00371A81"/>
    <w:p w14:paraId="7CC8616A" w14:textId="3E48708C" w:rsidR="003965DF" w:rsidRPr="00A921E5" w:rsidRDefault="00411255" w:rsidP="003965DF">
      <w:pPr>
        <w:pStyle w:val="Heading1"/>
        <w:ind w:left="567" w:hanging="567"/>
      </w:pPr>
      <w:r w:rsidRPr="00A921E5">
        <w:lastRenderedPageBreak/>
        <w:t>Call</w:t>
      </w:r>
      <w:r w:rsidR="00DF17B9" w:rsidRPr="00A921E5">
        <w:t>s</w:t>
      </w:r>
      <w:r w:rsidRPr="00A921E5">
        <w:t xml:space="preserve"> for</w:t>
      </w:r>
      <w:r w:rsidR="003965DF" w:rsidRPr="00A921E5">
        <w:t xml:space="preserve"> the creation of conditions for active mobility (infrastructure for non-motori</w:t>
      </w:r>
      <w:r w:rsidR="00CA013C" w:rsidRPr="00A921E5">
        <w:t>s</w:t>
      </w:r>
      <w:r w:rsidR="003965DF" w:rsidRPr="00A921E5">
        <w:t>ed transport)</w:t>
      </w:r>
      <w:r w:rsidRPr="00A921E5">
        <w:t xml:space="preserve"> to </w:t>
      </w:r>
      <w:r w:rsidR="003965DF" w:rsidRPr="00A921E5">
        <w:t>enable the strengthening of the healthy lifestyle of local residents and the further development of sustainable tourism.</w:t>
      </w:r>
    </w:p>
    <w:p w14:paraId="1D69B0FE" w14:textId="77777777" w:rsidR="00770D7F" w:rsidRPr="00A921E5" w:rsidRDefault="00770D7F" w:rsidP="00371A81"/>
    <w:p w14:paraId="2E4E258E" w14:textId="769CE1F5" w:rsidR="003965DF" w:rsidRPr="00A921E5" w:rsidRDefault="00411255" w:rsidP="003965DF">
      <w:pPr>
        <w:pStyle w:val="Heading1"/>
        <w:ind w:left="567" w:hanging="567"/>
      </w:pPr>
      <w:r w:rsidRPr="00A921E5">
        <w:t>Highlights the fundamental contribution of</w:t>
      </w:r>
      <w:r w:rsidR="003965DF" w:rsidRPr="00A921E5">
        <w:t xml:space="preserve"> autonomous clean mobility to the development of </w:t>
      </w:r>
      <w:r w:rsidR="00C72746" w:rsidRPr="00A921E5">
        <w:t>smart villages</w:t>
      </w:r>
      <w:r w:rsidR="003965DF" w:rsidRPr="00A921E5">
        <w:t>.</w:t>
      </w:r>
    </w:p>
    <w:p w14:paraId="7B95666B" w14:textId="77777777" w:rsidR="00770D7F" w:rsidRPr="00A921E5" w:rsidRDefault="00770D7F" w:rsidP="00371A81"/>
    <w:p w14:paraId="070390C8" w14:textId="1DE58773" w:rsidR="003965DF" w:rsidRPr="00A921E5" w:rsidRDefault="00411255" w:rsidP="003965DF">
      <w:pPr>
        <w:pStyle w:val="Heading1"/>
        <w:ind w:left="567" w:hanging="567"/>
      </w:pPr>
      <w:r w:rsidRPr="00A921E5">
        <w:t xml:space="preserve">Asks </w:t>
      </w:r>
      <w:r w:rsidR="00CA013C" w:rsidRPr="00A921E5">
        <w:t>that i</w:t>
      </w:r>
      <w:r w:rsidR="00D6715C" w:rsidRPr="00A921E5">
        <w:t>t</w:t>
      </w:r>
      <w:r w:rsidR="00CA013C" w:rsidRPr="00A921E5">
        <w:t xml:space="preserve"> be </w:t>
      </w:r>
      <w:r w:rsidRPr="00A921E5">
        <w:t>ensure</w:t>
      </w:r>
      <w:r w:rsidR="00CA013C" w:rsidRPr="00A921E5">
        <w:t>d</w:t>
      </w:r>
      <w:r w:rsidRPr="00A921E5">
        <w:t xml:space="preserve"> </w:t>
      </w:r>
      <w:r w:rsidR="003965DF" w:rsidRPr="00A921E5">
        <w:t>that the support of community work will be conducted in such a way as to protect vulnerable groups of the population, especially women. Social work lead</w:t>
      </w:r>
      <w:r w:rsidRPr="00A921E5">
        <w:t>s</w:t>
      </w:r>
      <w:r w:rsidR="003965DF" w:rsidRPr="00A921E5">
        <w:t xml:space="preserve"> to the improvement of the living conditions of marginali</w:t>
      </w:r>
      <w:r w:rsidR="00CA013C" w:rsidRPr="00A921E5">
        <w:t>s</w:t>
      </w:r>
      <w:r w:rsidR="003965DF" w:rsidRPr="00A921E5">
        <w:t>ed groups of the population in rural areas and to the improvement of life perspectives of children from excluded communities.</w:t>
      </w:r>
    </w:p>
    <w:p w14:paraId="40427325" w14:textId="77777777" w:rsidR="00770D7F" w:rsidRPr="00A921E5" w:rsidRDefault="00770D7F" w:rsidP="00371A81"/>
    <w:p w14:paraId="6102E3DC" w14:textId="0EAB51C5" w:rsidR="003965DF" w:rsidRPr="00A921E5" w:rsidRDefault="003965DF" w:rsidP="003965DF">
      <w:pPr>
        <w:pStyle w:val="Heading1"/>
        <w:ind w:left="567" w:hanging="567"/>
      </w:pPr>
      <w:r w:rsidRPr="00A921E5">
        <w:t>Emphasi</w:t>
      </w:r>
      <w:r w:rsidR="00CA013C" w:rsidRPr="00A921E5">
        <w:t>s</w:t>
      </w:r>
      <w:r w:rsidRPr="00A921E5">
        <w:t xml:space="preserve">es that </w:t>
      </w:r>
      <w:r w:rsidR="00D6715C" w:rsidRPr="00A921E5">
        <w:t>s</w:t>
      </w:r>
      <w:r w:rsidRPr="00A921E5">
        <w:t>mart villages should become an integral part of regional development policy and create synergies with existing tools, e.g. LEADER/CLLD. In this work, governments and institutions at all levels should include Local Action Groups (LAGs) in their programming in a more holistic manner. Smart villages, potentially managed by LAGs, have the potential to increase economic, social and territorial cohesion.</w:t>
      </w:r>
    </w:p>
    <w:p w14:paraId="6C7EF17D" w14:textId="77777777" w:rsidR="00770D7F" w:rsidRPr="00A921E5" w:rsidRDefault="00770D7F" w:rsidP="00371A81"/>
    <w:p w14:paraId="3A50DE67" w14:textId="5D6CA9C9" w:rsidR="007567D7" w:rsidRPr="00A921E5" w:rsidRDefault="00437A97" w:rsidP="003965DF">
      <w:pPr>
        <w:pStyle w:val="Heading1"/>
        <w:ind w:left="567" w:hanging="567"/>
      </w:pPr>
      <w:r w:rsidRPr="00A921E5">
        <w:t>I</w:t>
      </w:r>
      <w:r w:rsidR="007567D7" w:rsidRPr="00A921E5">
        <w:t xml:space="preserve">s convinced that by supporting </w:t>
      </w:r>
      <w:r w:rsidRPr="00A921E5">
        <w:t xml:space="preserve">the </w:t>
      </w:r>
      <w:r w:rsidR="007567D7" w:rsidRPr="00A921E5">
        <w:t>development of rural areas with the above measures, a significant strengthening of Europe's resilience will be achieved, a higher quality of life will be ensured not only in these areas, but also in cities as a result of changes in rural areas, the competitiveness of the EU will be increased, the quality of the environment will be improved and social cohesion will be strengthened.</w:t>
      </w:r>
    </w:p>
    <w:p w14:paraId="1663BF0C" w14:textId="77777777" w:rsidR="00770D7F" w:rsidRPr="00A921E5" w:rsidRDefault="00770D7F" w:rsidP="00371A81"/>
    <w:p w14:paraId="38CB8D48" w14:textId="3A94622E" w:rsidR="007567D7" w:rsidRPr="00A921E5" w:rsidRDefault="007567D7" w:rsidP="003965DF">
      <w:pPr>
        <w:pStyle w:val="Heading1"/>
        <w:ind w:left="567" w:hanging="567"/>
      </w:pPr>
      <w:r w:rsidRPr="00A921E5">
        <w:t>Points out that the magnitude of the challenges requires a strong concentration of financial resources and all activities in rural areas</w:t>
      </w:r>
      <w:r w:rsidR="00E7402B" w:rsidRPr="00A921E5">
        <w:t>,</w:t>
      </w:r>
      <w:r w:rsidRPr="00A921E5">
        <w:t xml:space="preserve"> </w:t>
      </w:r>
      <w:r w:rsidR="00E7402B" w:rsidRPr="00A921E5">
        <w:t xml:space="preserve">including for the development of urban-rural linkages; </w:t>
      </w:r>
      <w:r w:rsidRPr="00A921E5">
        <w:t>considers it necessary to connect development tools, reduce their fragmentation</w:t>
      </w:r>
      <w:r w:rsidR="00E7402B" w:rsidRPr="00A921E5">
        <w:t xml:space="preserve"> and </w:t>
      </w:r>
      <w:r w:rsidRPr="00A921E5">
        <w:t>strengthen synergies between LEADER</w:t>
      </w:r>
      <w:r w:rsidR="00C72746" w:rsidRPr="00A921E5">
        <w:t>/CLLD</w:t>
      </w:r>
      <w:r w:rsidRPr="00A921E5">
        <w:t>, smart villages initiatives and LAGs</w:t>
      </w:r>
      <w:r w:rsidR="00640FEF" w:rsidRPr="00A921E5">
        <w:t xml:space="preserve">, </w:t>
      </w:r>
      <w:proofErr w:type="spellStart"/>
      <w:r w:rsidR="00E7402B" w:rsidRPr="00A921E5">
        <w:t>multifunded</w:t>
      </w:r>
      <w:proofErr w:type="spellEnd"/>
      <w:r w:rsidR="00E7402B" w:rsidRPr="00A921E5">
        <w:t xml:space="preserve"> through all European funds, including </w:t>
      </w:r>
      <w:r w:rsidR="00A921E5" w:rsidRPr="00A921E5">
        <w:t xml:space="preserve">the </w:t>
      </w:r>
      <w:r w:rsidR="00E7402B" w:rsidRPr="00A921E5">
        <w:t xml:space="preserve">European Regional Development Fund, </w:t>
      </w:r>
      <w:r w:rsidR="00A921E5" w:rsidRPr="00A921E5">
        <w:t xml:space="preserve">the </w:t>
      </w:r>
      <w:r w:rsidR="00E7402B" w:rsidRPr="00A921E5">
        <w:t>European Social Fund, CAP plans or Next Generation EU funds. All of these tools are key to promoting the cohesive development of rural areas.</w:t>
      </w:r>
    </w:p>
    <w:p w14:paraId="2F88FCBD" w14:textId="77777777" w:rsidR="00770D7F" w:rsidRPr="00A921E5" w:rsidRDefault="00770D7F" w:rsidP="00371A81"/>
    <w:p w14:paraId="5E32BF7F" w14:textId="7EF540D0" w:rsidR="007567D7" w:rsidRPr="00A921E5" w:rsidRDefault="007567D7" w:rsidP="003965DF">
      <w:pPr>
        <w:pStyle w:val="Heading1"/>
        <w:ind w:left="567" w:hanging="567"/>
      </w:pPr>
      <w:r w:rsidRPr="00A921E5">
        <w:t>calls for a gradual change in the criteria for the distribution of support from EU sources so that the territorial share of rural areas in the EU and the number of municipalities in them are taken into account</w:t>
      </w:r>
      <w:r w:rsidR="00437A97" w:rsidRPr="00A921E5">
        <w:t>.</w:t>
      </w:r>
    </w:p>
    <w:p w14:paraId="21C46C4B" w14:textId="77777777" w:rsidR="00770D7F" w:rsidRPr="00A921E5" w:rsidRDefault="00770D7F" w:rsidP="00371A81"/>
    <w:p w14:paraId="3F91F71D" w14:textId="69874823" w:rsidR="003965DF" w:rsidRPr="00A921E5" w:rsidRDefault="003965DF" w:rsidP="00A26809">
      <w:pPr>
        <w:pStyle w:val="Heading1"/>
        <w:ind w:left="567" w:hanging="567"/>
      </w:pPr>
      <w:r w:rsidRPr="00A921E5">
        <w:t xml:space="preserve">Calls for post-2027 Cohesion Policy to include specific EU-level regional targeting and earmarking for rural areas, with a minimum aid threshold in Partnership Agreements. </w:t>
      </w:r>
      <w:r w:rsidR="007567D7" w:rsidRPr="00A921E5">
        <w:t>In the perspective of Rural Proofing</w:t>
      </w:r>
      <w:r w:rsidR="007D152F" w:rsidRPr="00A921E5">
        <w:rPr>
          <w:b/>
          <w:i/>
        </w:rPr>
        <w:t xml:space="preserve"> </w:t>
      </w:r>
      <w:r w:rsidR="007D152F" w:rsidRPr="00A921E5">
        <w:rPr>
          <w:bCs/>
          <w:iCs/>
        </w:rPr>
        <w:t>and in line with the "do no harm to cohesion" principle,</w:t>
      </w:r>
      <w:r w:rsidR="007567D7" w:rsidRPr="00A921E5">
        <w:rPr>
          <w:bCs/>
          <w:iCs/>
        </w:rPr>
        <w:t xml:space="preserve"> </w:t>
      </w:r>
      <w:r w:rsidR="007567D7" w:rsidRPr="00A921E5">
        <w:t>t</w:t>
      </w:r>
      <w:r w:rsidRPr="00A921E5">
        <w:t xml:space="preserve">his should also </w:t>
      </w:r>
      <w:r w:rsidR="007567D7" w:rsidRPr="00A921E5">
        <w:t xml:space="preserve">apply to </w:t>
      </w:r>
      <w:r w:rsidRPr="00A921E5">
        <w:t>other policies in the EU budget that have a territorial dimension, including any successor to Next Generation EU.</w:t>
      </w:r>
    </w:p>
    <w:p w14:paraId="5DC1F34B" w14:textId="77777777" w:rsidR="003965DF" w:rsidRPr="00A921E5" w:rsidRDefault="003965DF" w:rsidP="00371A81">
      <w:pPr>
        <w:rPr>
          <w:iCs/>
        </w:rPr>
      </w:pPr>
    </w:p>
    <w:p w14:paraId="749F6354" w14:textId="77777777" w:rsidR="003965DF" w:rsidRPr="00A921E5" w:rsidRDefault="003965DF" w:rsidP="003965DF">
      <w:pPr>
        <w:keepNext/>
        <w:rPr>
          <w:i/>
        </w:rPr>
      </w:pPr>
      <w:r w:rsidRPr="00A921E5">
        <w:rPr>
          <w:i/>
        </w:rPr>
        <w:t>Monitoring system</w:t>
      </w:r>
    </w:p>
    <w:p w14:paraId="21B27A9D" w14:textId="77777777" w:rsidR="003965DF" w:rsidRPr="00A921E5" w:rsidRDefault="003965DF" w:rsidP="003965DF">
      <w:pPr>
        <w:keepNext/>
        <w:rPr>
          <w:iCs/>
        </w:rPr>
      </w:pPr>
    </w:p>
    <w:p w14:paraId="19CB303A" w14:textId="21F81503" w:rsidR="003965DF" w:rsidRPr="00A921E5" w:rsidRDefault="003965DF" w:rsidP="003965DF">
      <w:pPr>
        <w:pStyle w:val="Heading1"/>
        <w:ind w:left="567" w:hanging="567"/>
      </w:pPr>
      <w:r w:rsidRPr="00A921E5">
        <w:t xml:space="preserve">Welcomes the creation of the </w:t>
      </w:r>
      <w:r w:rsidR="00766A8A" w:rsidRPr="00A921E5">
        <w:t>Rural Observatory</w:t>
      </w:r>
      <w:r w:rsidRPr="00A921E5">
        <w:t xml:space="preserve"> for the creation of indicators for monitoring the development of rural areas, considering that the availability of data at the level of at least NUTS3 </w:t>
      </w:r>
      <w:r w:rsidRPr="00A921E5">
        <w:lastRenderedPageBreak/>
        <w:t xml:space="preserve">in all EU countries is essential. </w:t>
      </w:r>
      <w:r w:rsidR="00766A8A" w:rsidRPr="00A921E5">
        <w:t>Highlights the importance for Member States to provide</w:t>
      </w:r>
      <w:r w:rsidRPr="00A921E5">
        <w:t xml:space="preserve"> this data annually in an open data format, available to the public, including the scientific community.</w:t>
      </w:r>
    </w:p>
    <w:p w14:paraId="454AD760" w14:textId="77777777" w:rsidR="00770D7F" w:rsidRPr="00A921E5" w:rsidRDefault="00770D7F" w:rsidP="00371A81"/>
    <w:p w14:paraId="72203645" w14:textId="0EFDBBF5" w:rsidR="000E324A" w:rsidRPr="00A921E5" w:rsidRDefault="003965DF" w:rsidP="000E324A">
      <w:pPr>
        <w:pStyle w:val="Heading1"/>
        <w:ind w:left="567" w:hanging="567"/>
      </w:pPr>
      <w:r w:rsidRPr="00A921E5">
        <w:t xml:space="preserve">Draws attention to the urgent need to go beyond the new Territorial Agenda 2030 and the </w:t>
      </w:r>
      <w:r w:rsidR="00766A8A" w:rsidRPr="00A921E5">
        <w:t>LTVRA</w:t>
      </w:r>
      <w:r w:rsidRPr="00A921E5">
        <w:t xml:space="preserve"> in order to put in place a European Rural Agenda that can mobilise specific indicators to verify the use of structural funds in Article 174 regions. Indicators should be established both as basic indicators for the entire territory of rural areas, e.g. in the field of digital infrastructure, and then as specific indicators, taking into account the specific situation in individual territories </w:t>
      </w:r>
      <w:r w:rsidR="002F4B9B" w:rsidRPr="00A921E5">
        <w:t>–</w:t>
      </w:r>
      <w:r w:rsidRPr="00A921E5">
        <w:t xml:space="preserve"> with specific data on mountain</w:t>
      </w:r>
      <w:r w:rsidR="00766A8A" w:rsidRPr="00A921E5">
        <w:t>ous regions</w:t>
      </w:r>
      <w:r w:rsidRPr="00A921E5">
        <w:t>, islands, rural areas, areas experiencing demographic and industrial decline, etc. These indicators should be defined at sub-regional level (such as NUTS 3 and LAU), where the greatest disparities in development are to be found, and should be used when rural</w:t>
      </w:r>
      <w:r w:rsidR="002F4B9B" w:rsidRPr="00A921E5">
        <w:t>-</w:t>
      </w:r>
      <w:r w:rsidRPr="00A921E5">
        <w:t>proofing all EU policies.</w:t>
      </w:r>
    </w:p>
    <w:p w14:paraId="1447991C" w14:textId="77777777" w:rsidR="00770D7F" w:rsidRPr="00A921E5" w:rsidRDefault="00770D7F" w:rsidP="00371A81"/>
    <w:p w14:paraId="131EA644" w14:textId="126D296E" w:rsidR="00766A8A" w:rsidRPr="00A921E5" w:rsidRDefault="000D287F" w:rsidP="000E324A">
      <w:pPr>
        <w:pStyle w:val="Heading1"/>
        <w:ind w:left="567" w:hanging="567"/>
        <w:rPr>
          <w:bCs/>
          <w:szCs w:val="22"/>
        </w:rPr>
      </w:pPr>
      <w:r w:rsidRPr="00A921E5">
        <w:t xml:space="preserve">Invites the Commission to include proposals for targets and indicators in its evaluation report on the implementation of the LTVRA. </w:t>
      </w:r>
      <w:r w:rsidRPr="00A921E5">
        <w:rPr>
          <w:bCs/>
          <w:szCs w:val="22"/>
        </w:rPr>
        <w:t>Invites the Commission to propose how to integrate these targets in existing EU monitoring systems (e.g. the European Semester).</w:t>
      </w:r>
    </w:p>
    <w:p w14:paraId="00DB14D1" w14:textId="77777777" w:rsidR="00770D7F" w:rsidRPr="00A921E5" w:rsidRDefault="00770D7F" w:rsidP="00371A81"/>
    <w:p w14:paraId="32E882D3" w14:textId="7E181D26" w:rsidR="003965DF" w:rsidRPr="00A921E5" w:rsidRDefault="003965DF" w:rsidP="003965DF">
      <w:pPr>
        <w:pStyle w:val="Heading1"/>
        <w:ind w:left="567" w:hanging="567"/>
      </w:pPr>
      <w:r w:rsidRPr="00A921E5">
        <w:t xml:space="preserve">Calls </w:t>
      </w:r>
      <w:r w:rsidR="00766A8A" w:rsidRPr="00A921E5">
        <w:t xml:space="preserve">on </w:t>
      </w:r>
      <w:r w:rsidRPr="00A921E5">
        <w:t>Member States and regions to cooperate on the creation and application of these indicators for measuring changes in rural areas.</w:t>
      </w:r>
    </w:p>
    <w:p w14:paraId="7E232B6C" w14:textId="77777777" w:rsidR="00770D7F" w:rsidRPr="00A921E5" w:rsidRDefault="00770D7F" w:rsidP="00371A81"/>
    <w:p w14:paraId="1CEFA335" w14:textId="37205B21" w:rsidR="003965DF" w:rsidRPr="00A921E5" w:rsidRDefault="003965DF" w:rsidP="003965DF">
      <w:pPr>
        <w:pStyle w:val="Heading1"/>
        <w:ind w:left="567" w:hanging="567"/>
      </w:pPr>
      <w:r w:rsidRPr="00A921E5">
        <w:t>Reali</w:t>
      </w:r>
      <w:r w:rsidR="002F4B9B" w:rsidRPr="00A921E5">
        <w:t>s</w:t>
      </w:r>
      <w:r w:rsidRPr="00A921E5">
        <w:t xml:space="preserve">es the possibilities offered by the systematic continuous collection of data, e.g. </w:t>
      </w:r>
      <w:r w:rsidR="00766A8A" w:rsidRPr="00A921E5">
        <w:t xml:space="preserve">through </w:t>
      </w:r>
      <w:r w:rsidRPr="00A921E5">
        <w:t>satellites, and calls for their appropriate use.</w:t>
      </w:r>
    </w:p>
    <w:p w14:paraId="4ED075A5" w14:textId="77777777" w:rsidR="00770D7F" w:rsidRPr="00A921E5" w:rsidRDefault="00770D7F" w:rsidP="00371A81"/>
    <w:p w14:paraId="3054F7D4" w14:textId="241CB70B" w:rsidR="003965DF" w:rsidRPr="00A921E5" w:rsidRDefault="003965DF" w:rsidP="003965DF">
      <w:pPr>
        <w:pStyle w:val="Heading1"/>
        <w:ind w:left="567" w:hanging="567"/>
      </w:pPr>
      <w:r w:rsidRPr="00A921E5">
        <w:t>Is aware that quality of life cannot be assessed only quantitatively</w:t>
      </w:r>
      <w:r w:rsidR="00766A8A" w:rsidRPr="00A921E5">
        <w:t>;</w:t>
      </w:r>
      <w:r w:rsidRPr="00A921E5">
        <w:t xml:space="preserve"> </w:t>
      </w:r>
      <w:r w:rsidR="003403EC" w:rsidRPr="00A921E5">
        <w:t>therefore</w:t>
      </w:r>
      <w:r w:rsidRPr="00A921E5">
        <w:t xml:space="preserve"> asks </w:t>
      </w:r>
      <w:r w:rsidR="00766A8A" w:rsidRPr="00A921E5">
        <w:t xml:space="preserve">for EU support </w:t>
      </w:r>
      <w:r w:rsidR="002F4B9B" w:rsidRPr="00A921E5">
        <w:t xml:space="preserve">for </w:t>
      </w:r>
      <w:r w:rsidRPr="00A921E5">
        <w:t xml:space="preserve">research projects that will lead to the creation of other, especially qualitative indicators and methods </w:t>
      </w:r>
      <w:r w:rsidR="00766A8A" w:rsidRPr="00A921E5">
        <w:t xml:space="preserve">that allow for </w:t>
      </w:r>
      <w:r w:rsidRPr="00A921E5">
        <w:t>analysing the state and dynamics of development in rural areas, which will enable a holistic view of this development and the support of the most effective interventions in the further development of the EU</w:t>
      </w:r>
      <w:r w:rsidR="002F4B9B" w:rsidRPr="00A921E5">
        <w:t>'s</w:t>
      </w:r>
      <w:r w:rsidRPr="00A921E5">
        <w:t xml:space="preserve"> territory and society.</w:t>
      </w:r>
    </w:p>
    <w:p w14:paraId="2FB71822" w14:textId="77777777" w:rsidR="003A043C" w:rsidRPr="00A921E5" w:rsidRDefault="003A043C" w:rsidP="003A043C"/>
    <w:p w14:paraId="1E25AEC3" w14:textId="77777777" w:rsidR="00444A98" w:rsidRPr="00A921E5" w:rsidRDefault="00444A98" w:rsidP="003A043C">
      <w:pPr>
        <w:textAlignment w:val="auto"/>
      </w:pPr>
      <w:r w:rsidRPr="00A921E5">
        <w:t xml:space="preserve">Brussels, </w:t>
      </w:r>
    </w:p>
    <w:p w14:paraId="26AE4396" w14:textId="77777777" w:rsidR="00444A98" w:rsidRPr="00A921E5" w:rsidRDefault="00444A98" w:rsidP="003A043C"/>
    <w:p w14:paraId="066395AE" w14:textId="77777777" w:rsidR="00444A98" w:rsidRPr="00A921E5" w:rsidRDefault="00444A98" w:rsidP="003A043C">
      <w:pPr>
        <w:numPr>
          <w:ilvl w:val="0"/>
          <w:numId w:val="13"/>
        </w:numPr>
        <w:ind w:left="567" w:hanging="567"/>
        <w:rPr>
          <w:b/>
          <w:bCs/>
        </w:rPr>
      </w:pPr>
      <w:r w:rsidRPr="00A921E5">
        <w:br w:type="page"/>
      </w:r>
      <w:r w:rsidRPr="00A921E5">
        <w:rPr>
          <w:b/>
          <w:bCs/>
        </w:rPr>
        <w:lastRenderedPageBreak/>
        <w:t>PROCEDURE</w:t>
      </w:r>
    </w:p>
    <w:p w14:paraId="3571F2ED" w14:textId="77777777" w:rsidR="00444A98" w:rsidRPr="00A921E5" w:rsidRDefault="00444A98" w:rsidP="003A04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5308"/>
      </w:tblGrid>
      <w:tr w:rsidR="00444A98" w:rsidRPr="00A921E5" w14:paraId="46CB569B" w14:textId="77777777" w:rsidTr="00371A81">
        <w:tc>
          <w:tcPr>
            <w:tcW w:w="3848" w:type="dxa"/>
            <w:noWrap/>
          </w:tcPr>
          <w:p w14:paraId="6F814935" w14:textId="77777777" w:rsidR="00444A98" w:rsidRPr="00A921E5" w:rsidRDefault="00444A98" w:rsidP="006D78CA">
            <w:pPr>
              <w:jc w:val="left"/>
              <w:rPr>
                <w:b/>
                <w:bCs/>
              </w:rPr>
            </w:pPr>
            <w:r w:rsidRPr="00A921E5">
              <w:rPr>
                <w:b/>
                <w:bCs/>
              </w:rPr>
              <w:t>Title</w:t>
            </w:r>
          </w:p>
          <w:p w14:paraId="4DE271A9" w14:textId="77777777" w:rsidR="00444A98" w:rsidRPr="00A921E5" w:rsidRDefault="00444A98" w:rsidP="006D78CA">
            <w:pPr>
              <w:jc w:val="left"/>
            </w:pPr>
          </w:p>
        </w:tc>
        <w:tc>
          <w:tcPr>
            <w:tcW w:w="5441" w:type="dxa"/>
            <w:noWrap/>
          </w:tcPr>
          <w:p w14:paraId="032F4088" w14:textId="13AE7375" w:rsidR="00444A98" w:rsidRPr="00A921E5" w:rsidRDefault="003965DF" w:rsidP="003A043C">
            <w:r w:rsidRPr="00A921E5">
              <w:t>Targets and tools for a smart rural Europe</w:t>
            </w:r>
          </w:p>
        </w:tc>
      </w:tr>
      <w:tr w:rsidR="00444A98" w:rsidRPr="00A921E5" w14:paraId="700A20F9" w14:textId="77777777" w:rsidTr="00371A81">
        <w:tc>
          <w:tcPr>
            <w:tcW w:w="3848" w:type="dxa"/>
            <w:noWrap/>
          </w:tcPr>
          <w:p w14:paraId="01C650CE" w14:textId="77777777" w:rsidR="00444A98" w:rsidRPr="00A921E5" w:rsidRDefault="00444A98" w:rsidP="006D78CA">
            <w:pPr>
              <w:jc w:val="left"/>
              <w:rPr>
                <w:b/>
                <w:bCs/>
              </w:rPr>
            </w:pPr>
            <w:r w:rsidRPr="00A921E5">
              <w:rPr>
                <w:b/>
                <w:bCs/>
              </w:rPr>
              <w:t xml:space="preserve">Reference(s) </w:t>
            </w:r>
          </w:p>
        </w:tc>
        <w:tc>
          <w:tcPr>
            <w:tcW w:w="5441" w:type="dxa"/>
            <w:noWrap/>
          </w:tcPr>
          <w:p w14:paraId="3016A6CF" w14:textId="0EE2BE86" w:rsidR="00444A98" w:rsidRPr="00A921E5" w:rsidRDefault="003965DF" w:rsidP="003A043C">
            <w:r w:rsidRPr="00A921E5">
              <w:t>N/A</w:t>
            </w:r>
          </w:p>
        </w:tc>
      </w:tr>
      <w:tr w:rsidR="00444A98" w:rsidRPr="00A921E5" w14:paraId="3C407896" w14:textId="77777777" w:rsidTr="00371A81">
        <w:tc>
          <w:tcPr>
            <w:tcW w:w="3848" w:type="dxa"/>
            <w:noWrap/>
          </w:tcPr>
          <w:p w14:paraId="4F9FF621" w14:textId="77777777" w:rsidR="00444A98" w:rsidRPr="00A921E5" w:rsidRDefault="00444A98" w:rsidP="006D78CA">
            <w:pPr>
              <w:jc w:val="left"/>
              <w:rPr>
                <w:b/>
                <w:bCs/>
              </w:rPr>
            </w:pPr>
            <w:r w:rsidRPr="00A921E5">
              <w:rPr>
                <w:b/>
                <w:bCs/>
              </w:rPr>
              <w:t>Legal basis</w:t>
            </w:r>
          </w:p>
        </w:tc>
        <w:tc>
          <w:tcPr>
            <w:tcW w:w="5441" w:type="dxa"/>
            <w:noWrap/>
          </w:tcPr>
          <w:p w14:paraId="0E302964" w14:textId="77777777" w:rsidR="00444A98" w:rsidRPr="00A921E5" w:rsidRDefault="003F4B3A" w:rsidP="003A043C">
            <w:pPr>
              <w:rPr>
                <w:szCs w:val="22"/>
              </w:rPr>
            </w:pPr>
            <w:r w:rsidRPr="00A921E5">
              <w:rPr>
                <w:szCs w:val="22"/>
              </w:rPr>
              <w:t>Own-initiative opinion [Rule 41(b)(ii)]</w:t>
            </w:r>
          </w:p>
          <w:p w14:paraId="46B22BA0" w14:textId="10EDCF23" w:rsidR="003F4B3A" w:rsidRPr="00A921E5" w:rsidRDefault="003F4B3A" w:rsidP="003A043C"/>
        </w:tc>
      </w:tr>
      <w:tr w:rsidR="00444A98" w:rsidRPr="00A921E5" w14:paraId="2A30F1A2" w14:textId="77777777" w:rsidTr="00371A81">
        <w:tc>
          <w:tcPr>
            <w:tcW w:w="3848" w:type="dxa"/>
            <w:noWrap/>
          </w:tcPr>
          <w:p w14:paraId="105ED5B5" w14:textId="77777777" w:rsidR="00444A98" w:rsidRPr="00A921E5" w:rsidRDefault="00444A98" w:rsidP="006D78CA">
            <w:pPr>
              <w:jc w:val="left"/>
              <w:rPr>
                <w:b/>
                <w:bCs/>
              </w:rPr>
            </w:pPr>
            <w:r w:rsidRPr="00A921E5">
              <w:rPr>
                <w:b/>
                <w:bCs/>
              </w:rPr>
              <w:t>Procedural basis</w:t>
            </w:r>
          </w:p>
        </w:tc>
        <w:tc>
          <w:tcPr>
            <w:tcW w:w="5441" w:type="dxa"/>
            <w:noWrap/>
          </w:tcPr>
          <w:p w14:paraId="2139319C" w14:textId="77777777" w:rsidR="00444A98" w:rsidRPr="00A921E5" w:rsidRDefault="00444A98" w:rsidP="003A043C"/>
        </w:tc>
      </w:tr>
      <w:tr w:rsidR="00444A98" w:rsidRPr="00A921E5" w14:paraId="08EE3DF4" w14:textId="77777777" w:rsidTr="00371A81">
        <w:tc>
          <w:tcPr>
            <w:tcW w:w="3848" w:type="dxa"/>
          </w:tcPr>
          <w:p w14:paraId="32B2A407" w14:textId="77777777" w:rsidR="00444A98" w:rsidRPr="00A921E5" w:rsidRDefault="00444A98" w:rsidP="006D78CA">
            <w:pPr>
              <w:jc w:val="left"/>
            </w:pPr>
            <w:r w:rsidRPr="00A921E5">
              <w:rPr>
                <w:b/>
                <w:bCs/>
              </w:rPr>
              <w:t>Date of Council/EP referral/Date of Commission letter</w:t>
            </w:r>
          </w:p>
        </w:tc>
        <w:tc>
          <w:tcPr>
            <w:tcW w:w="5441" w:type="dxa"/>
            <w:noWrap/>
          </w:tcPr>
          <w:p w14:paraId="0A4B61A9" w14:textId="1E0E3B34" w:rsidR="00444A98" w:rsidRPr="00A921E5" w:rsidRDefault="003965DF" w:rsidP="003A043C">
            <w:r w:rsidRPr="00A921E5">
              <w:t>N/A</w:t>
            </w:r>
          </w:p>
        </w:tc>
      </w:tr>
      <w:tr w:rsidR="00444A98" w:rsidRPr="00A921E5" w14:paraId="081B06F1" w14:textId="77777777" w:rsidTr="00371A81">
        <w:tc>
          <w:tcPr>
            <w:tcW w:w="3848" w:type="dxa"/>
          </w:tcPr>
          <w:p w14:paraId="36CB7DE7" w14:textId="77777777" w:rsidR="00444A98" w:rsidRPr="00A921E5" w:rsidRDefault="00444A98" w:rsidP="006D78CA">
            <w:pPr>
              <w:jc w:val="left"/>
            </w:pPr>
            <w:r w:rsidRPr="00A921E5">
              <w:rPr>
                <w:b/>
                <w:bCs/>
              </w:rPr>
              <w:t>Date of Bureau/President's decision</w:t>
            </w:r>
          </w:p>
        </w:tc>
        <w:tc>
          <w:tcPr>
            <w:tcW w:w="5441" w:type="dxa"/>
            <w:noWrap/>
          </w:tcPr>
          <w:p w14:paraId="37A9CC9A" w14:textId="05E76739" w:rsidR="00444A98" w:rsidRPr="00A921E5" w:rsidRDefault="00893E38" w:rsidP="003A043C">
            <w:r w:rsidRPr="00A921E5">
              <w:t>16 September 2022</w:t>
            </w:r>
          </w:p>
        </w:tc>
      </w:tr>
      <w:tr w:rsidR="00444A98" w:rsidRPr="00A921E5" w14:paraId="1DB08CD3" w14:textId="77777777" w:rsidTr="00371A81">
        <w:tc>
          <w:tcPr>
            <w:tcW w:w="3848" w:type="dxa"/>
            <w:noWrap/>
          </w:tcPr>
          <w:p w14:paraId="0FE5FA9C" w14:textId="77777777" w:rsidR="00444A98" w:rsidRPr="00A921E5" w:rsidRDefault="00444A98" w:rsidP="006D78CA">
            <w:pPr>
              <w:jc w:val="left"/>
              <w:rPr>
                <w:b/>
                <w:bCs/>
              </w:rPr>
            </w:pPr>
            <w:r w:rsidRPr="00A921E5">
              <w:rPr>
                <w:b/>
                <w:bCs/>
              </w:rPr>
              <w:t>Commission responsible</w:t>
            </w:r>
          </w:p>
        </w:tc>
        <w:tc>
          <w:tcPr>
            <w:tcW w:w="5441" w:type="dxa"/>
            <w:noWrap/>
          </w:tcPr>
          <w:p w14:paraId="04CBE8D9" w14:textId="1E0D79CD" w:rsidR="00444A98" w:rsidRPr="00A921E5" w:rsidRDefault="003F4B3A" w:rsidP="003A043C">
            <w:r w:rsidRPr="00A921E5">
              <w:t>Commission for Natural Resources</w:t>
            </w:r>
          </w:p>
        </w:tc>
      </w:tr>
      <w:tr w:rsidR="00444A98" w:rsidRPr="00A921E5" w14:paraId="6AC2C701" w14:textId="77777777" w:rsidTr="00371A81">
        <w:tc>
          <w:tcPr>
            <w:tcW w:w="3848" w:type="dxa"/>
            <w:noWrap/>
          </w:tcPr>
          <w:p w14:paraId="191732C7" w14:textId="77777777" w:rsidR="00444A98" w:rsidRPr="00A921E5" w:rsidRDefault="00444A98" w:rsidP="006D78CA">
            <w:pPr>
              <w:jc w:val="left"/>
              <w:rPr>
                <w:b/>
                <w:bCs/>
              </w:rPr>
            </w:pPr>
            <w:r w:rsidRPr="00A921E5">
              <w:rPr>
                <w:b/>
                <w:bCs/>
              </w:rPr>
              <w:t>Rapporteur</w:t>
            </w:r>
          </w:p>
        </w:tc>
        <w:tc>
          <w:tcPr>
            <w:tcW w:w="5441" w:type="dxa"/>
            <w:noWrap/>
          </w:tcPr>
          <w:p w14:paraId="2A03B1A5" w14:textId="7A602F52" w:rsidR="00444A98" w:rsidRPr="00A921E5" w:rsidRDefault="003965DF" w:rsidP="003A043C">
            <w:r w:rsidRPr="00A921E5">
              <w:t>Radim Sršeň</w:t>
            </w:r>
          </w:p>
        </w:tc>
      </w:tr>
      <w:tr w:rsidR="00444A98" w:rsidRPr="00A921E5" w14:paraId="61E419C1" w14:textId="77777777" w:rsidTr="00371A81">
        <w:tc>
          <w:tcPr>
            <w:tcW w:w="3848" w:type="dxa"/>
            <w:noWrap/>
          </w:tcPr>
          <w:p w14:paraId="4D5956D1" w14:textId="77777777" w:rsidR="00444A98" w:rsidRPr="00A921E5" w:rsidRDefault="00444A98" w:rsidP="006D78CA">
            <w:pPr>
              <w:jc w:val="left"/>
              <w:rPr>
                <w:b/>
                <w:bCs/>
              </w:rPr>
            </w:pPr>
            <w:r w:rsidRPr="00A921E5">
              <w:rPr>
                <w:b/>
                <w:bCs/>
              </w:rPr>
              <w:t>Analysis</w:t>
            </w:r>
          </w:p>
        </w:tc>
        <w:tc>
          <w:tcPr>
            <w:tcW w:w="5441" w:type="dxa"/>
            <w:noWrap/>
          </w:tcPr>
          <w:p w14:paraId="77646784" w14:textId="0E3F55D6" w:rsidR="00444A98" w:rsidRPr="00A921E5" w:rsidRDefault="003F1C16" w:rsidP="003A043C">
            <w:r w:rsidRPr="00A921E5">
              <w:t xml:space="preserve">28 </w:t>
            </w:r>
            <w:r w:rsidR="00893E38" w:rsidRPr="00A921E5">
              <w:t>July</w:t>
            </w:r>
            <w:r w:rsidRPr="00A921E5">
              <w:t xml:space="preserve"> 2022</w:t>
            </w:r>
          </w:p>
        </w:tc>
      </w:tr>
      <w:tr w:rsidR="00444A98" w:rsidRPr="00A921E5" w14:paraId="338346A5" w14:textId="77777777" w:rsidTr="00371A81">
        <w:tc>
          <w:tcPr>
            <w:tcW w:w="3848" w:type="dxa"/>
            <w:noWrap/>
          </w:tcPr>
          <w:p w14:paraId="06BCE30C" w14:textId="77777777" w:rsidR="00444A98" w:rsidRPr="00A921E5" w:rsidRDefault="00444A98" w:rsidP="006D78CA">
            <w:pPr>
              <w:jc w:val="left"/>
              <w:rPr>
                <w:b/>
                <w:bCs/>
              </w:rPr>
            </w:pPr>
            <w:r w:rsidRPr="00A921E5">
              <w:rPr>
                <w:b/>
                <w:bCs/>
              </w:rPr>
              <w:t xml:space="preserve">Discussed in commission </w:t>
            </w:r>
          </w:p>
        </w:tc>
        <w:tc>
          <w:tcPr>
            <w:tcW w:w="5441" w:type="dxa"/>
            <w:noWrap/>
          </w:tcPr>
          <w:p w14:paraId="175F0659" w14:textId="68EE81F2" w:rsidR="00444A98" w:rsidRPr="00A921E5" w:rsidRDefault="003F4B3A" w:rsidP="003A043C">
            <w:r w:rsidRPr="00A921E5">
              <w:t>31 January 202</w:t>
            </w:r>
            <w:r w:rsidR="003F1C16" w:rsidRPr="00A921E5">
              <w:t>3</w:t>
            </w:r>
          </w:p>
        </w:tc>
      </w:tr>
      <w:tr w:rsidR="00444A98" w:rsidRPr="00A921E5" w14:paraId="1BFA12CB" w14:textId="77777777" w:rsidTr="00371A81">
        <w:tc>
          <w:tcPr>
            <w:tcW w:w="3848" w:type="dxa"/>
            <w:noWrap/>
          </w:tcPr>
          <w:p w14:paraId="4E39F844" w14:textId="77777777" w:rsidR="00444A98" w:rsidRPr="00A921E5" w:rsidRDefault="00444A98" w:rsidP="006D78CA">
            <w:pPr>
              <w:jc w:val="left"/>
              <w:rPr>
                <w:b/>
                <w:bCs/>
              </w:rPr>
            </w:pPr>
            <w:r w:rsidRPr="00A921E5">
              <w:rPr>
                <w:b/>
                <w:bCs/>
              </w:rPr>
              <w:t xml:space="preserve">Date adopted by commission </w:t>
            </w:r>
          </w:p>
        </w:tc>
        <w:tc>
          <w:tcPr>
            <w:tcW w:w="5441" w:type="dxa"/>
            <w:noWrap/>
          </w:tcPr>
          <w:p w14:paraId="20F617C1" w14:textId="20FC1701" w:rsidR="00444A98" w:rsidRPr="00A921E5" w:rsidRDefault="003F4B3A" w:rsidP="003A043C">
            <w:r w:rsidRPr="00A921E5">
              <w:t>31 January 202</w:t>
            </w:r>
            <w:r w:rsidR="003F1C16" w:rsidRPr="00A921E5">
              <w:t>3</w:t>
            </w:r>
          </w:p>
        </w:tc>
      </w:tr>
      <w:tr w:rsidR="00444A98" w:rsidRPr="00A921E5" w14:paraId="2E8C612A" w14:textId="77777777" w:rsidTr="00371A81">
        <w:tc>
          <w:tcPr>
            <w:tcW w:w="3848" w:type="dxa"/>
            <w:noWrap/>
          </w:tcPr>
          <w:p w14:paraId="63AFBAC1" w14:textId="77777777" w:rsidR="00444A98" w:rsidRPr="00A921E5" w:rsidRDefault="00444A98" w:rsidP="006D78CA">
            <w:pPr>
              <w:jc w:val="left"/>
              <w:rPr>
                <w:b/>
                <w:bCs/>
              </w:rPr>
            </w:pPr>
            <w:r w:rsidRPr="00A921E5">
              <w:rPr>
                <w:b/>
                <w:bCs/>
              </w:rPr>
              <w:t>Result of the vote in commission</w:t>
            </w:r>
          </w:p>
          <w:p w14:paraId="679C631D" w14:textId="77777777" w:rsidR="00444A98" w:rsidRPr="00A921E5" w:rsidRDefault="00444A98" w:rsidP="006D78CA">
            <w:pPr>
              <w:jc w:val="left"/>
              <w:rPr>
                <w:b/>
                <w:bCs/>
              </w:rPr>
            </w:pPr>
            <w:r w:rsidRPr="00A921E5">
              <w:rPr>
                <w:b/>
                <w:bCs/>
              </w:rPr>
              <w:t>(majority, unanimity)</w:t>
            </w:r>
          </w:p>
        </w:tc>
        <w:tc>
          <w:tcPr>
            <w:tcW w:w="5441" w:type="dxa"/>
            <w:noWrap/>
          </w:tcPr>
          <w:p w14:paraId="75934A0A" w14:textId="2E28340B" w:rsidR="00444A98" w:rsidRPr="00A921E5" w:rsidRDefault="003F4B3A" w:rsidP="003A043C">
            <w:r w:rsidRPr="00A921E5">
              <w:t xml:space="preserve">Unanimity </w:t>
            </w:r>
          </w:p>
        </w:tc>
      </w:tr>
      <w:tr w:rsidR="00444A98" w:rsidRPr="00A921E5" w14:paraId="559A56BC" w14:textId="77777777" w:rsidTr="00371A81">
        <w:tc>
          <w:tcPr>
            <w:tcW w:w="3848" w:type="dxa"/>
            <w:noWrap/>
          </w:tcPr>
          <w:p w14:paraId="5A7841BA" w14:textId="77777777" w:rsidR="00444A98" w:rsidRPr="00A921E5" w:rsidRDefault="00444A98" w:rsidP="006D78CA">
            <w:pPr>
              <w:jc w:val="left"/>
              <w:rPr>
                <w:b/>
                <w:bCs/>
              </w:rPr>
            </w:pPr>
            <w:r w:rsidRPr="00A921E5">
              <w:rPr>
                <w:b/>
                <w:bCs/>
              </w:rPr>
              <w:t xml:space="preserve">Date adopted in plenary </w:t>
            </w:r>
          </w:p>
        </w:tc>
        <w:tc>
          <w:tcPr>
            <w:tcW w:w="5441" w:type="dxa"/>
            <w:noWrap/>
          </w:tcPr>
          <w:p w14:paraId="527E629F" w14:textId="060664D9" w:rsidR="00444A98" w:rsidRPr="00A921E5" w:rsidRDefault="003F4B3A" w:rsidP="003A043C">
            <w:r w:rsidRPr="00A921E5">
              <w:t>15-March 2023</w:t>
            </w:r>
          </w:p>
        </w:tc>
      </w:tr>
      <w:tr w:rsidR="00444A98" w:rsidRPr="00A921E5" w14:paraId="60463A91" w14:textId="77777777" w:rsidTr="00371A81">
        <w:tc>
          <w:tcPr>
            <w:tcW w:w="3848" w:type="dxa"/>
            <w:noWrap/>
          </w:tcPr>
          <w:p w14:paraId="1CFE567F" w14:textId="77777777" w:rsidR="00444A98" w:rsidRPr="00A921E5" w:rsidRDefault="00444A98" w:rsidP="006D78CA">
            <w:pPr>
              <w:jc w:val="left"/>
              <w:rPr>
                <w:b/>
                <w:bCs/>
              </w:rPr>
            </w:pPr>
            <w:r w:rsidRPr="00A921E5">
              <w:rPr>
                <w:b/>
                <w:bCs/>
              </w:rPr>
              <w:t xml:space="preserve">Previous Committee opinions </w:t>
            </w:r>
          </w:p>
        </w:tc>
        <w:tc>
          <w:tcPr>
            <w:tcW w:w="5441" w:type="dxa"/>
            <w:noWrap/>
          </w:tcPr>
          <w:p w14:paraId="644904B3" w14:textId="77777777" w:rsidR="00444A98" w:rsidRPr="00A921E5" w:rsidRDefault="00444A98" w:rsidP="003A043C"/>
        </w:tc>
      </w:tr>
      <w:tr w:rsidR="00444A98" w:rsidRPr="00A921E5" w14:paraId="6B72C57C" w14:textId="77777777" w:rsidTr="00371A81">
        <w:tc>
          <w:tcPr>
            <w:tcW w:w="3848" w:type="dxa"/>
            <w:noWrap/>
          </w:tcPr>
          <w:p w14:paraId="0141A9F7" w14:textId="77777777" w:rsidR="00444A98" w:rsidRPr="00A921E5" w:rsidRDefault="00444A98" w:rsidP="006D78CA">
            <w:pPr>
              <w:jc w:val="left"/>
              <w:rPr>
                <w:b/>
                <w:bCs/>
              </w:rPr>
            </w:pPr>
            <w:r w:rsidRPr="00A921E5">
              <w:rPr>
                <w:b/>
                <w:bCs/>
              </w:rPr>
              <w:t>Date of subsidiarity monitoring consultation</w:t>
            </w:r>
          </w:p>
        </w:tc>
        <w:tc>
          <w:tcPr>
            <w:tcW w:w="5441" w:type="dxa"/>
            <w:noWrap/>
          </w:tcPr>
          <w:p w14:paraId="4F2221AD" w14:textId="21893975" w:rsidR="00444A98" w:rsidRPr="00A921E5" w:rsidRDefault="00893E38" w:rsidP="003A043C">
            <w:r w:rsidRPr="00A921E5">
              <w:t>N/A</w:t>
            </w:r>
          </w:p>
        </w:tc>
      </w:tr>
    </w:tbl>
    <w:p w14:paraId="2D0F10F9" w14:textId="77777777" w:rsidR="00444A98" w:rsidRPr="00A921E5" w:rsidRDefault="00444A98" w:rsidP="003A043C"/>
    <w:p w14:paraId="360ADBBA" w14:textId="77777777" w:rsidR="00444A98" w:rsidRPr="00A921E5" w:rsidRDefault="00444A98" w:rsidP="003A043C">
      <w:pPr>
        <w:jc w:val="center"/>
      </w:pPr>
      <w:r w:rsidRPr="00A921E5">
        <w:t>_____________</w:t>
      </w:r>
    </w:p>
    <w:p w14:paraId="599C3C0C" w14:textId="77777777" w:rsidR="00444A98" w:rsidRPr="00A921E5" w:rsidRDefault="00444A98" w:rsidP="003A043C"/>
    <w:sectPr w:rsidR="00444A98" w:rsidRPr="00A921E5" w:rsidSect="003A043C">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DB0B" w14:textId="77777777" w:rsidR="0021742D" w:rsidRDefault="0021742D">
      <w:r>
        <w:separator/>
      </w:r>
    </w:p>
  </w:endnote>
  <w:endnote w:type="continuationSeparator" w:id="0">
    <w:p w14:paraId="397C0D13" w14:textId="77777777" w:rsidR="0021742D" w:rsidRDefault="0021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497D" w14:textId="7E54E1DA" w:rsidR="006D78CA" w:rsidRPr="00770D7F" w:rsidRDefault="00770D7F" w:rsidP="00770D7F">
    <w:pPr>
      <w:pStyle w:val="Footer"/>
    </w:pPr>
    <w:r>
      <w:t>COR-2022-04320-00-00-PA</w:t>
    </w:r>
    <w:r w:rsidR="00681FD0">
      <w:t>C</w:t>
    </w:r>
    <w:r>
      <w:t xml:space="preserve">-TRA (EN) </w:t>
    </w:r>
    <w:r>
      <w:fldChar w:fldCharType="begin"/>
    </w:r>
    <w:r>
      <w:instrText xml:space="preserve"> PAGE  \* Arabic  \* MERGEFORMAT </w:instrText>
    </w:r>
    <w:r>
      <w:fldChar w:fldCharType="separate"/>
    </w:r>
    <w:r w:rsidR="006163F3">
      <w:rPr>
        <w:noProof/>
      </w:rPr>
      <w:t>1</w:t>
    </w:r>
    <w:r>
      <w:fldChar w:fldCharType="end"/>
    </w:r>
    <w:r>
      <w:t>/</w:t>
    </w:r>
    <w:r>
      <w:fldChar w:fldCharType="begin"/>
    </w:r>
    <w:r>
      <w:instrText xml:space="preserve"> NUMPAGES </w:instrText>
    </w:r>
    <w:r>
      <w:fldChar w:fldCharType="separate"/>
    </w:r>
    <w:r w:rsidR="006163F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ACB" w14:textId="43B1964B" w:rsidR="001B33A4" w:rsidRDefault="00770D7F">
    <w:pPr>
      <w:pStyle w:val="Footer"/>
    </w:pPr>
    <w:r>
      <w:t xml:space="preserve">COR-2022-04320-00-00-PA-TRA (EN) </w:t>
    </w:r>
    <w:r>
      <w:fldChar w:fldCharType="begin"/>
    </w:r>
    <w:r>
      <w:instrText xml:space="preserve"> PAGE  \* Arabic  \* MERGEFORMAT </w:instrText>
    </w:r>
    <w:r>
      <w:fldChar w:fldCharType="separate"/>
    </w:r>
    <w:r>
      <w:rPr>
        <w:noProof/>
      </w:rPr>
      <w:t>0</w:t>
    </w:r>
    <w:r>
      <w:fldChar w:fldCharType="end"/>
    </w:r>
    <w:r>
      <w:t>/</w:t>
    </w:r>
    <w:r>
      <w:fldChar w:fldCharType="begin"/>
    </w:r>
    <w:r>
      <w:instrText xml:space="preserve"> NUMPAGES </w:instrText>
    </w:r>
    <w:r>
      <w:fldChar w:fldCharType="separate"/>
    </w:r>
    <w:r w:rsidR="009B3E6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6B94" w14:textId="77777777" w:rsidR="0021742D" w:rsidRDefault="0021742D">
      <w:r>
        <w:separator/>
      </w:r>
    </w:p>
  </w:footnote>
  <w:footnote w:type="continuationSeparator" w:id="0">
    <w:p w14:paraId="10243EB6" w14:textId="77777777" w:rsidR="0021742D" w:rsidRDefault="0021742D">
      <w:r>
        <w:continuationSeparator/>
      </w:r>
    </w:p>
  </w:footnote>
  <w:footnote w:id="1">
    <w:p w14:paraId="54E638B2" w14:textId="5BAF49DB" w:rsidR="00FA5192" w:rsidRPr="00FA5192" w:rsidRDefault="00FA5192" w:rsidP="00371A81">
      <w:pPr>
        <w:pStyle w:val="FootnoteText"/>
        <w:ind w:left="567" w:hanging="567"/>
      </w:pPr>
      <w:r>
        <w:rPr>
          <w:rStyle w:val="FootnoteReference"/>
        </w:rPr>
        <w:footnoteRef/>
      </w:r>
      <w:r>
        <w:t xml:space="preserve"> </w:t>
      </w:r>
      <w:r>
        <w:tab/>
      </w:r>
      <w:hyperlink r:id="rId1" w:history="1">
        <w:r w:rsidRPr="00FA5192">
          <w:rPr>
            <w:rStyle w:val="Hyperlink"/>
          </w:rPr>
          <w:t>COM(2021) 345 final</w:t>
        </w:r>
      </w:hyperlink>
    </w:p>
  </w:footnote>
  <w:footnote w:id="2">
    <w:p w14:paraId="28B99BE9" w14:textId="223B00F5" w:rsidR="00385B1D" w:rsidRPr="003734FE" w:rsidRDefault="00385B1D" w:rsidP="00371A81">
      <w:pPr>
        <w:pStyle w:val="FootnoteText"/>
        <w:ind w:left="567" w:hanging="567"/>
      </w:pPr>
      <w:r>
        <w:rPr>
          <w:rStyle w:val="FootnoteReference"/>
        </w:rPr>
        <w:footnoteRef/>
      </w:r>
      <w:r>
        <w:t xml:space="preserve"> </w:t>
      </w:r>
      <w:r>
        <w:tab/>
        <w:t xml:space="preserve">For example, the </w:t>
      </w:r>
      <w:r w:rsidRPr="00385B1D">
        <w:t xml:space="preserve">8th Environmental Action Plan, Zero Pollution Action Plan, Biodiversity Strategy to 2030, </w:t>
      </w:r>
      <w:proofErr w:type="spellStart"/>
      <w:r w:rsidRPr="00385B1D">
        <w:t>REPowerEU</w:t>
      </w:r>
      <w:proofErr w:type="spellEnd"/>
      <w:r w:rsidRPr="00385B1D">
        <w:t>, Digital Compass 2030</w:t>
      </w:r>
      <w:r>
        <w:t>,</w:t>
      </w:r>
      <w:r w:rsidRPr="00385B1D">
        <w:t xml:space="preserve"> 2030 policy program </w:t>
      </w:r>
      <w:r w:rsidRPr="00371A81">
        <w:rPr>
          <w:i/>
        </w:rPr>
        <w:t>Path to the Digital Decade</w:t>
      </w:r>
    </w:p>
  </w:footnote>
  <w:footnote w:id="3">
    <w:p w14:paraId="736751C8" w14:textId="4CA075B8" w:rsidR="00385B1D" w:rsidRPr="00385B1D" w:rsidRDefault="00385B1D" w:rsidP="00371A81">
      <w:pPr>
        <w:pStyle w:val="FootnoteText"/>
        <w:ind w:left="567" w:hanging="567"/>
      </w:pPr>
      <w:r>
        <w:rPr>
          <w:rStyle w:val="FootnoteReference"/>
        </w:rPr>
        <w:footnoteRef/>
      </w:r>
      <w:r>
        <w:t xml:space="preserve"> </w:t>
      </w:r>
      <w:r>
        <w:tab/>
      </w:r>
      <w:hyperlink r:id="rId2" w:history="1">
        <w:r w:rsidRPr="00385B1D">
          <w:rPr>
            <w:rStyle w:val="Hyperlink"/>
          </w:rPr>
          <w:t>COM(2022) 289</w:t>
        </w:r>
      </w:hyperlink>
    </w:p>
  </w:footnote>
  <w:footnote w:id="4">
    <w:p w14:paraId="0E632F57" w14:textId="746572C1" w:rsidR="00FA5192" w:rsidRPr="003734FE" w:rsidRDefault="00FA5192" w:rsidP="00371A81">
      <w:pPr>
        <w:pStyle w:val="FootnoteText"/>
        <w:ind w:left="567" w:hanging="567"/>
      </w:pPr>
      <w:r>
        <w:rPr>
          <w:rStyle w:val="FootnoteReference"/>
        </w:rPr>
        <w:footnoteRef/>
      </w:r>
      <w:r>
        <w:t xml:space="preserve"> </w:t>
      </w:r>
      <w:r>
        <w:tab/>
      </w:r>
      <w:hyperlink r:id="rId3" w:history="1">
        <w:r w:rsidR="00C26991" w:rsidRPr="00AF6346">
          <w:rPr>
            <w:rStyle w:val="Hyperlink"/>
          </w:rPr>
          <w:t>https://memportal.cor.europa.eu/Handlers/ViewDoc.ashx?doc=COR-2022-05357-00-00-DECL-TRA-EN.docx</w:t>
        </w:r>
      </w:hyperlink>
      <w:r w:rsidR="00C26991">
        <w:t xml:space="preserve"> </w:t>
      </w:r>
    </w:p>
  </w:footnote>
  <w:footnote w:id="5">
    <w:p w14:paraId="41772909" w14:textId="6B6B9596" w:rsidR="00934B76" w:rsidRPr="003734FE" w:rsidRDefault="00934B76" w:rsidP="00371A81">
      <w:pPr>
        <w:pStyle w:val="FootnoteText"/>
        <w:ind w:left="567" w:hanging="567"/>
      </w:pPr>
      <w:r>
        <w:rPr>
          <w:rStyle w:val="FootnoteReference"/>
        </w:rPr>
        <w:footnoteRef/>
      </w:r>
      <w:r>
        <w:t xml:space="preserve"> </w:t>
      </w:r>
      <w:r>
        <w:tab/>
      </w:r>
      <w:r w:rsidRPr="00934B76">
        <w:t xml:space="preserve">Lutz, W., Goujon, A., Kc, S., </w:t>
      </w:r>
      <w:proofErr w:type="spellStart"/>
      <w:r w:rsidRPr="00934B76">
        <w:t>Stonawski</w:t>
      </w:r>
      <w:proofErr w:type="spellEnd"/>
      <w:r w:rsidRPr="00934B76">
        <w:t xml:space="preserve">, M. and </w:t>
      </w:r>
      <w:proofErr w:type="spellStart"/>
      <w:r w:rsidRPr="00934B76">
        <w:t>Stilianakis</w:t>
      </w:r>
      <w:proofErr w:type="spellEnd"/>
      <w:r w:rsidRPr="00CD4A14">
        <w:t>, N.,</w:t>
      </w:r>
      <w:r w:rsidRPr="00371A81">
        <w:rPr>
          <w:i/>
        </w:rPr>
        <w:t xml:space="preserve"> Demographic and Human Capital Scenarios for the 21st Century: 2018 assessment for 201 countries</w:t>
      </w:r>
      <w:r w:rsidRPr="00934B76">
        <w:t>, EUR 29113 EN, Publications Office of the European Union, Luxembourg, 2018, ISBN 978-92-79-78024-0 (online), JRC111148</w:t>
      </w:r>
    </w:p>
  </w:footnote>
  <w:footnote w:id="6">
    <w:p w14:paraId="529F5E85" w14:textId="1E97666B" w:rsidR="00934B76" w:rsidRPr="003734FE" w:rsidRDefault="00934B76" w:rsidP="00371A81">
      <w:pPr>
        <w:pStyle w:val="FootnoteText"/>
        <w:ind w:left="567" w:hanging="567"/>
      </w:pPr>
      <w:r>
        <w:rPr>
          <w:rStyle w:val="FootnoteReference"/>
        </w:rPr>
        <w:footnoteRef/>
      </w:r>
      <w:r>
        <w:t xml:space="preserve"> </w:t>
      </w:r>
      <w:r>
        <w:tab/>
      </w:r>
      <w:r w:rsidRPr="00934B76">
        <w:t xml:space="preserve">See examples of good practice presented at the Innovative Region </w:t>
      </w:r>
      <w:r w:rsidR="00E55A87">
        <w:t>–</w:t>
      </w:r>
      <w:r w:rsidRPr="00934B76">
        <w:t xml:space="preserve"> Opportunities and Challenges conference, held in </w:t>
      </w:r>
      <w:proofErr w:type="spellStart"/>
      <w:r w:rsidRPr="00934B76">
        <w:t>Jeseník</w:t>
      </w:r>
      <w:proofErr w:type="spellEnd"/>
      <w:r w:rsidRPr="00934B76">
        <w:t xml:space="preserve"> 2022 as part of the Czech Presidency of the European Council</w:t>
      </w:r>
      <w:r w:rsidR="00E55A87">
        <w:t>:</w:t>
      </w:r>
      <w:r w:rsidR="007A30B6">
        <w:t xml:space="preserve"> </w:t>
      </w:r>
      <w:hyperlink r:id="rId4" w:history="1">
        <w:r w:rsidR="00E55A87" w:rsidRPr="00AF6346">
          <w:rPr>
            <w:rStyle w:val="Hyperlink"/>
          </w:rPr>
          <w:t>https://mmr.cz/en/microsites/pres/akce/cz-pres-konference-inovativni-region-prilezitosti</w:t>
        </w:r>
      </w:hyperlink>
      <w:r w:rsidR="00E55A87">
        <w:t xml:space="preserve"> </w:t>
      </w:r>
    </w:p>
  </w:footnote>
  <w:footnote w:id="7">
    <w:p w14:paraId="56C4263A" w14:textId="229610D8" w:rsidR="00277E35" w:rsidRPr="000E324A" w:rsidRDefault="00277E35" w:rsidP="00371A81">
      <w:pPr>
        <w:overflowPunct/>
        <w:autoSpaceDE/>
        <w:autoSpaceDN/>
        <w:adjustRightInd/>
        <w:spacing w:line="240" w:lineRule="auto"/>
        <w:ind w:left="567" w:hanging="567"/>
        <w:jc w:val="left"/>
        <w:textAlignment w:val="auto"/>
        <w:rPr>
          <w:lang w:val="cs-CZ"/>
        </w:rPr>
      </w:pPr>
      <w:r w:rsidRPr="000E324A">
        <w:rPr>
          <w:rStyle w:val="FootnoteReference"/>
          <w:lang w:val="en-US"/>
        </w:rPr>
        <w:footnoteRef/>
      </w:r>
      <w:r w:rsidR="00770D7F">
        <w:rPr>
          <w:lang w:val="en-US"/>
        </w:rPr>
        <w:tab/>
      </w:r>
      <w:r w:rsidR="003403EC" w:rsidRPr="003403EC">
        <w:rPr>
          <w:sz w:val="16"/>
        </w:rPr>
        <w:t>E</w:t>
      </w:r>
      <w:r w:rsidRPr="003403EC">
        <w:rPr>
          <w:sz w:val="16"/>
        </w:rPr>
        <w:t>conomy, efficiency, effectiveness</w:t>
      </w:r>
    </w:p>
  </w:footnote>
  <w:footnote w:id="8">
    <w:p w14:paraId="2C4D7C0E" w14:textId="7210F56C" w:rsidR="00A16CAC" w:rsidRPr="00A16CAC" w:rsidRDefault="00A16CAC" w:rsidP="00371A81">
      <w:pPr>
        <w:pStyle w:val="FootnoteText"/>
        <w:ind w:left="567" w:hanging="567"/>
      </w:pPr>
      <w:r>
        <w:rPr>
          <w:rStyle w:val="FootnoteReference"/>
        </w:rPr>
        <w:footnoteRef/>
      </w:r>
      <w:r w:rsidR="00770D7F">
        <w:tab/>
      </w:r>
      <w:r>
        <w:t>COM(2021) 574 final.</w:t>
      </w:r>
    </w:p>
  </w:footnote>
  <w:footnote w:id="9">
    <w:p w14:paraId="655A0806" w14:textId="0FA430F7" w:rsidR="00A16CAC" w:rsidRPr="00A16CAC" w:rsidRDefault="00A16CAC" w:rsidP="00371A81">
      <w:pPr>
        <w:pStyle w:val="FootnoteText"/>
        <w:ind w:left="567" w:hanging="567"/>
      </w:pPr>
      <w:r>
        <w:rPr>
          <w:rStyle w:val="FootnoteReference"/>
        </w:rPr>
        <w:footnoteRef/>
      </w:r>
      <w:r>
        <w:t xml:space="preserve"> </w:t>
      </w:r>
      <w:r>
        <w:tab/>
      </w:r>
      <w:hyperlink r:id="rId5" w:history="1">
        <w:r w:rsidR="00CD4A14" w:rsidRPr="0016418B">
          <w:rPr>
            <w:rStyle w:val="Hyperlink"/>
          </w:rPr>
          <w:t>https://digital-strategy.ec.europa.eu/en/library/european-declaration-digital-rights-and-principles</w:t>
        </w:r>
      </w:hyperlink>
      <w:r w:rsidR="00CD4A1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A76701A"/>
    <w:multiLevelType w:val="hybridMultilevel"/>
    <w:tmpl w:val="E2FEA7C4"/>
    <w:lvl w:ilvl="0" w:tplc="BB2ADE7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B6E4D"/>
    <w:multiLevelType w:val="hybridMultilevel"/>
    <w:tmpl w:val="AA7A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C1E9C"/>
    <w:multiLevelType w:val="hybridMultilevel"/>
    <w:tmpl w:val="CB0C47BE"/>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93836"/>
    <w:multiLevelType w:val="hybridMultilevel"/>
    <w:tmpl w:val="B56C650A"/>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C4BE8"/>
    <w:multiLevelType w:val="hybridMultilevel"/>
    <w:tmpl w:val="B2F25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0101A"/>
    <w:multiLevelType w:val="hybridMultilevel"/>
    <w:tmpl w:val="47307B44"/>
    <w:lvl w:ilvl="0" w:tplc="9124A2D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783574"/>
    <w:multiLevelType w:val="hybridMultilevel"/>
    <w:tmpl w:val="D8EC7DA4"/>
    <w:lvl w:ilvl="0" w:tplc="4ABCA4D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60D6B"/>
    <w:multiLevelType w:val="hybridMultilevel"/>
    <w:tmpl w:val="FA0E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DF7"/>
    <w:multiLevelType w:val="hybridMultilevel"/>
    <w:tmpl w:val="D4708E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63B7E8D"/>
    <w:multiLevelType w:val="hybridMultilevel"/>
    <w:tmpl w:val="57A6F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E0284"/>
    <w:multiLevelType w:val="hybridMultilevel"/>
    <w:tmpl w:val="503093C4"/>
    <w:lvl w:ilvl="0" w:tplc="39C6CB0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974EA"/>
    <w:multiLevelType w:val="hybridMultilevel"/>
    <w:tmpl w:val="B888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F1669"/>
    <w:multiLevelType w:val="hybridMultilevel"/>
    <w:tmpl w:val="71EA772E"/>
    <w:lvl w:ilvl="0" w:tplc="BBDEE43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537C1"/>
    <w:multiLevelType w:val="hybridMultilevel"/>
    <w:tmpl w:val="27F4467E"/>
    <w:lvl w:ilvl="0" w:tplc="8E969C5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33F96"/>
    <w:multiLevelType w:val="hybridMultilevel"/>
    <w:tmpl w:val="B53C551E"/>
    <w:lvl w:ilvl="0" w:tplc="A182722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6"/>
  </w:num>
  <w:num w:numId="4">
    <w:abstractNumId w:val="13"/>
  </w:num>
  <w:num w:numId="5">
    <w:abstractNumId w:val="15"/>
  </w:num>
  <w:num w:numId="6">
    <w:abstractNumId w:val="7"/>
  </w:num>
  <w:num w:numId="7">
    <w:abstractNumId w:val="4"/>
  </w:num>
  <w:num w:numId="8">
    <w:abstractNumId w:val="24"/>
  </w:num>
  <w:num w:numId="9">
    <w:abstractNumId w:val="19"/>
  </w:num>
  <w:num w:numId="10">
    <w:abstractNumId w:val="22"/>
  </w:num>
  <w:num w:numId="11">
    <w:abstractNumId w:val="5"/>
  </w:num>
  <w:num w:numId="12">
    <w:abstractNumId w:val="14"/>
  </w:num>
  <w:num w:numId="13">
    <w:abstractNumId w:val="27"/>
  </w:num>
  <w:num w:numId="14">
    <w:abstractNumId w:val="3"/>
  </w:num>
  <w:num w:numId="15">
    <w:abstractNumId w:val="18"/>
  </w:num>
  <w:num w:numId="16">
    <w:abstractNumId w:val="17"/>
  </w:num>
  <w:num w:numId="17">
    <w:abstractNumId w:val="12"/>
  </w:num>
  <w:num w:numId="18">
    <w:abstractNumId w:val="2"/>
  </w:num>
  <w:num w:numId="19">
    <w:abstractNumId w:val="23"/>
  </w:num>
  <w:num w:numId="20">
    <w:abstractNumId w:val="20"/>
  </w:num>
  <w:num w:numId="21">
    <w:abstractNumId w:val="21"/>
  </w:num>
  <w:num w:numId="22">
    <w:abstractNumId w:val="25"/>
  </w:num>
  <w:num w:numId="23">
    <w:abstractNumId w:val="6"/>
  </w:num>
  <w:num w:numId="24">
    <w:abstractNumId w:val="11"/>
  </w:num>
  <w:num w:numId="25">
    <w:abstractNumId w:val="8"/>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020D7F"/>
    <w:rsid w:val="000615B3"/>
    <w:rsid w:val="00067BA8"/>
    <w:rsid w:val="00083405"/>
    <w:rsid w:val="00083AE8"/>
    <w:rsid w:val="0008701D"/>
    <w:rsid w:val="000A4851"/>
    <w:rsid w:val="000B73AB"/>
    <w:rsid w:val="000B74D3"/>
    <w:rsid w:val="000C3BC1"/>
    <w:rsid w:val="000D287F"/>
    <w:rsid w:val="000D6A84"/>
    <w:rsid w:val="000E324A"/>
    <w:rsid w:val="000F74AF"/>
    <w:rsid w:val="00101FBB"/>
    <w:rsid w:val="00112E32"/>
    <w:rsid w:val="0012190B"/>
    <w:rsid w:val="0015645B"/>
    <w:rsid w:val="00182CEB"/>
    <w:rsid w:val="001866DA"/>
    <w:rsid w:val="001A7B14"/>
    <w:rsid w:val="001B1D87"/>
    <w:rsid w:val="001B33A4"/>
    <w:rsid w:val="001C66A9"/>
    <w:rsid w:val="001E5620"/>
    <w:rsid w:val="001F1AB8"/>
    <w:rsid w:val="002033F5"/>
    <w:rsid w:val="002054D0"/>
    <w:rsid w:val="00206A50"/>
    <w:rsid w:val="00214238"/>
    <w:rsid w:val="0021742D"/>
    <w:rsid w:val="00225C8A"/>
    <w:rsid w:val="002302F1"/>
    <w:rsid w:val="00254B94"/>
    <w:rsid w:val="0026767E"/>
    <w:rsid w:val="00277E35"/>
    <w:rsid w:val="00293319"/>
    <w:rsid w:val="002A67BF"/>
    <w:rsid w:val="002B1E5E"/>
    <w:rsid w:val="002D618D"/>
    <w:rsid w:val="002F03D6"/>
    <w:rsid w:val="002F4B9B"/>
    <w:rsid w:val="002F4FB1"/>
    <w:rsid w:val="00322488"/>
    <w:rsid w:val="00334D96"/>
    <w:rsid w:val="003403EC"/>
    <w:rsid w:val="003563A4"/>
    <w:rsid w:val="00367564"/>
    <w:rsid w:val="00371A81"/>
    <w:rsid w:val="003734FE"/>
    <w:rsid w:val="00373ED4"/>
    <w:rsid w:val="00383975"/>
    <w:rsid w:val="00385B1D"/>
    <w:rsid w:val="0038693F"/>
    <w:rsid w:val="003965DF"/>
    <w:rsid w:val="003A043C"/>
    <w:rsid w:val="003A32CE"/>
    <w:rsid w:val="003B0723"/>
    <w:rsid w:val="003B1C77"/>
    <w:rsid w:val="003C0F98"/>
    <w:rsid w:val="003E1CB2"/>
    <w:rsid w:val="003E420C"/>
    <w:rsid w:val="003F0688"/>
    <w:rsid w:val="003F1C16"/>
    <w:rsid w:val="003F4B3A"/>
    <w:rsid w:val="003F7CAF"/>
    <w:rsid w:val="00406724"/>
    <w:rsid w:val="00411255"/>
    <w:rsid w:val="004336B4"/>
    <w:rsid w:val="00437A97"/>
    <w:rsid w:val="00444A98"/>
    <w:rsid w:val="004452A6"/>
    <w:rsid w:val="00447CC3"/>
    <w:rsid w:val="00454AD9"/>
    <w:rsid w:val="00475484"/>
    <w:rsid w:val="004A0C7C"/>
    <w:rsid w:val="004A41CF"/>
    <w:rsid w:val="004E605D"/>
    <w:rsid w:val="005452A6"/>
    <w:rsid w:val="00574104"/>
    <w:rsid w:val="00575FC1"/>
    <w:rsid w:val="00583866"/>
    <w:rsid w:val="005918A5"/>
    <w:rsid w:val="005A41BB"/>
    <w:rsid w:val="005A7F8D"/>
    <w:rsid w:val="005B2905"/>
    <w:rsid w:val="005C36CD"/>
    <w:rsid w:val="005C4B78"/>
    <w:rsid w:val="005C4F1C"/>
    <w:rsid w:val="005C7014"/>
    <w:rsid w:val="005D31A6"/>
    <w:rsid w:val="005E3E07"/>
    <w:rsid w:val="005E58C7"/>
    <w:rsid w:val="006163F3"/>
    <w:rsid w:val="006178E4"/>
    <w:rsid w:val="006311E4"/>
    <w:rsid w:val="00640FEF"/>
    <w:rsid w:val="00642E11"/>
    <w:rsid w:val="006669B8"/>
    <w:rsid w:val="00681FD0"/>
    <w:rsid w:val="00685538"/>
    <w:rsid w:val="006862F5"/>
    <w:rsid w:val="0069789C"/>
    <w:rsid w:val="006A4A0A"/>
    <w:rsid w:val="006D0087"/>
    <w:rsid w:val="006D1541"/>
    <w:rsid w:val="006D60A9"/>
    <w:rsid w:val="006D78CA"/>
    <w:rsid w:val="00720994"/>
    <w:rsid w:val="00725562"/>
    <w:rsid w:val="00732F8D"/>
    <w:rsid w:val="007400B7"/>
    <w:rsid w:val="0075508D"/>
    <w:rsid w:val="007567D7"/>
    <w:rsid w:val="00766A8A"/>
    <w:rsid w:val="00767BAA"/>
    <w:rsid w:val="00770D7F"/>
    <w:rsid w:val="00785549"/>
    <w:rsid w:val="00785967"/>
    <w:rsid w:val="007A30B6"/>
    <w:rsid w:val="007A456E"/>
    <w:rsid w:val="007A6D76"/>
    <w:rsid w:val="007B10B2"/>
    <w:rsid w:val="007B2E4D"/>
    <w:rsid w:val="007D152F"/>
    <w:rsid w:val="007F0079"/>
    <w:rsid w:val="007F68C4"/>
    <w:rsid w:val="00801E5B"/>
    <w:rsid w:val="00810512"/>
    <w:rsid w:val="00814EF3"/>
    <w:rsid w:val="008224B6"/>
    <w:rsid w:val="00837FA5"/>
    <w:rsid w:val="00847E17"/>
    <w:rsid w:val="00851153"/>
    <w:rsid w:val="00866F5C"/>
    <w:rsid w:val="00880B6D"/>
    <w:rsid w:val="00893E38"/>
    <w:rsid w:val="0089521B"/>
    <w:rsid w:val="008D3638"/>
    <w:rsid w:val="008D5CBC"/>
    <w:rsid w:val="00913B7D"/>
    <w:rsid w:val="00927069"/>
    <w:rsid w:val="00934B76"/>
    <w:rsid w:val="009352AE"/>
    <w:rsid w:val="00972326"/>
    <w:rsid w:val="0099591A"/>
    <w:rsid w:val="009A16C1"/>
    <w:rsid w:val="009A6E15"/>
    <w:rsid w:val="009B3E6A"/>
    <w:rsid w:val="009F0B69"/>
    <w:rsid w:val="009F7D37"/>
    <w:rsid w:val="00A012E5"/>
    <w:rsid w:val="00A16CAC"/>
    <w:rsid w:val="00A402C8"/>
    <w:rsid w:val="00A4792D"/>
    <w:rsid w:val="00A832D9"/>
    <w:rsid w:val="00A84676"/>
    <w:rsid w:val="00A90105"/>
    <w:rsid w:val="00A911A9"/>
    <w:rsid w:val="00A91F95"/>
    <w:rsid w:val="00A921E5"/>
    <w:rsid w:val="00AA77B1"/>
    <w:rsid w:val="00AB0937"/>
    <w:rsid w:val="00AE4401"/>
    <w:rsid w:val="00B0087E"/>
    <w:rsid w:val="00B33430"/>
    <w:rsid w:val="00B35C1C"/>
    <w:rsid w:val="00B42F16"/>
    <w:rsid w:val="00B45AF6"/>
    <w:rsid w:val="00B65DB1"/>
    <w:rsid w:val="00BB4B32"/>
    <w:rsid w:val="00BE061F"/>
    <w:rsid w:val="00BE3E20"/>
    <w:rsid w:val="00BF7AE7"/>
    <w:rsid w:val="00C26991"/>
    <w:rsid w:val="00C3552F"/>
    <w:rsid w:val="00C639CA"/>
    <w:rsid w:val="00C64CC9"/>
    <w:rsid w:val="00C72746"/>
    <w:rsid w:val="00C7692D"/>
    <w:rsid w:val="00C82639"/>
    <w:rsid w:val="00CA013C"/>
    <w:rsid w:val="00CA6580"/>
    <w:rsid w:val="00CA6B49"/>
    <w:rsid w:val="00CB7BAE"/>
    <w:rsid w:val="00CD4A14"/>
    <w:rsid w:val="00CE5929"/>
    <w:rsid w:val="00CF4B33"/>
    <w:rsid w:val="00D363DC"/>
    <w:rsid w:val="00D46F0D"/>
    <w:rsid w:val="00D6715C"/>
    <w:rsid w:val="00D82134"/>
    <w:rsid w:val="00D83A08"/>
    <w:rsid w:val="00D87547"/>
    <w:rsid w:val="00DA0453"/>
    <w:rsid w:val="00DA085F"/>
    <w:rsid w:val="00DA3DEA"/>
    <w:rsid w:val="00DC55CB"/>
    <w:rsid w:val="00DD66B3"/>
    <w:rsid w:val="00DE5160"/>
    <w:rsid w:val="00DE664B"/>
    <w:rsid w:val="00DF17B9"/>
    <w:rsid w:val="00DF5986"/>
    <w:rsid w:val="00DF6A95"/>
    <w:rsid w:val="00DF7D46"/>
    <w:rsid w:val="00E01B13"/>
    <w:rsid w:val="00E03FDB"/>
    <w:rsid w:val="00E23E47"/>
    <w:rsid w:val="00E30D3A"/>
    <w:rsid w:val="00E31FC4"/>
    <w:rsid w:val="00E44F34"/>
    <w:rsid w:val="00E52232"/>
    <w:rsid w:val="00E55A87"/>
    <w:rsid w:val="00E5664A"/>
    <w:rsid w:val="00E67837"/>
    <w:rsid w:val="00E7402B"/>
    <w:rsid w:val="00E83AE3"/>
    <w:rsid w:val="00E83E7B"/>
    <w:rsid w:val="00E840EE"/>
    <w:rsid w:val="00EB3B52"/>
    <w:rsid w:val="00ED59B6"/>
    <w:rsid w:val="00F2445E"/>
    <w:rsid w:val="00F30DEA"/>
    <w:rsid w:val="00F3630B"/>
    <w:rsid w:val="00F40F26"/>
    <w:rsid w:val="00F42EDA"/>
    <w:rsid w:val="00F45402"/>
    <w:rsid w:val="00F55286"/>
    <w:rsid w:val="00F709E9"/>
    <w:rsid w:val="00F84BCE"/>
    <w:rsid w:val="00F85741"/>
    <w:rsid w:val="00F90F5A"/>
    <w:rsid w:val="00FA1EEE"/>
    <w:rsid w:val="00FA5192"/>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603D8"/>
  <w15:docId w15:val="{984669C0-AB7B-4E4C-9D64-E45C862E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847E17"/>
    <w:pPr>
      <w:numPr>
        <w:numId w:val="1"/>
      </w:numPr>
      <w:outlineLvl w:val="0"/>
    </w:pPr>
    <w:rPr>
      <w:kern w:val="28"/>
    </w:rPr>
  </w:style>
  <w:style w:type="paragraph" w:styleId="Heading2">
    <w:name w:val="heading 2"/>
    <w:basedOn w:val="Normal"/>
    <w:next w:val="Normal"/>
    <w:link w:val="Heading2Char"/>
    <w:uiPriority w:val="9"/>
    <w:qFormat/>
    <w:rsid w:val="00847E17"/>
    <w:pPr>
      <w:numPr>
        <w:ilvl w:val="1"/>
        <w:numId w:val="1"/>
      </w:numPr>
      <w:outlineLvl w:val="1"/>
    </w:pPr>
  </w:style>
  <w:style w:type="paragraph" w:styleId="Heading3">
    <w:name w:val="heading 3"/>
    <w:basedOn w:val="Normal"/>
    <w:next w:val="Normal"/>
    <w:link w:val="Heading3Char"/>
    <w:uiPriority w:val="9"/>
    <w:qFormat/>
    <w:rsid w:val="00847E17"/>
    <w:pPr>
      <w:numPr>
        <w:ilvl w:val="2"/>
        <w:numId w:val="1"/>
      </w:numPr>
      <w:outlineLvl w:val="2"/>
    </w:pPr>
  </w:style>
  <w:style w:type="paragraph" w:styleId="Heading4">
    <w:name w:val="heading 4"/>
    <w:basedOn w:val="Normal"/>
    <w:next w:val="Normal"/>
    <w:link w:val="Heading4Char"/>
    <w:uiPriority w:val="9"/>
    <w:qFormat/>
    <w:rsid w:val="00847E17"/>
    <w:pPr>
      <w:numPr>
        <w:ilvl w:val="3"/>
        <w:numId w:val="1"/>
      </w:numPr>
      <w:outlineLvl w:val="3"/>
    </w:pPr>
  </w:style>
  <w:style w:type="paragraph" w:styleId="Heading5">
    <w:name w:val="heading 5"/>
    <w:basedOn w:val="Normal"/>
    <w:next w:val="Normal"/>
    <w:link w:val="Heading5Char"/>
    <w:uiPriority w:val="9"/>
    <w:qFormat/>
    <w:rsid w:val="00847E17"/>
    <w:pPr>
      <w:numPr>
        <w:ilvl w:val="4"/>
        <w:numId w:val="1"/>
      </w:numPr>
      <w:outlineLvl w:val="4"/>
    </w:pPr>
  </w:style>
  <w:style w:type="paragraph" w:styleId="Heading6">
    <w:name w:val="heading 6"/>
    <w:basedOn w:val="Normal"/>
    <w:next w:val="Normal"/>
    <w:link w:val="Heading6Char"/>
    <w:uiPriority w:val="9"/>
    <w:qFormat/>
    <w:rsid w:val="00847E17"/>
    <w:pPr>
      <w:numPr>
        <w:ilvl w:val="5"/>
        <w:numId w:val="1"/>
      </w:numPr>
      <w:outlineLvl w:val="5"/>
    </w:pPr>
  </w:style>
  <w:style w:type="paragraph" w:styleId="Heading7">
    <w:name w:val="heading 7"/>
    <w:basedOn w:val="Normal"/>
    <w:next w:val="Normal"/>
    <w:link w:val="Heading7Char"/>
    <w:uiPriority w:val="9"/>
    <w:qFormat/>
    <w:rsid w:val="00847E17"/>
    <w:pPr>
      <w:numPr>
        <w:ilvl w:val="6"/>
        <w:numId w:val="1"/>
      </w:numPr>
      <w:outlineLvl w:val="6"/>
    </w:pPr>
  </w:style>
  <w:style w:type="paragraph" w:styleId="Heading8">
    <w:name w:val="heading 8"/>
    <w:basedOn w:val="Normal"/>
    <w:next w:val="Normal"/>
    <w:link w:val="Heading8Char"/>
    <w:uiPriority w:val="9"/>
    <w:qFormat/>
    <w:rsid w:val="00847E17"/>
    <w:pPr>
      <w:numPr>
        <w:ilvl w:val="7"/>
        <w:numId w:val="1"/>
      </w:numPr>
      <w:outlineLvl w:val="7"/>
    </w:pPr>
  </w:style>
  <w:style w:type="paragraph" w:styleId="Heading9">
    <w:name w:val="heading 9"/>
    <w:basedOn w:val="Normal"/>
    <w:next w:val="Normal"/>
    <w:link w:val="Heading9Char"/>
    <w:uiPriority w:val="9"/>
    <w:qFormat/>
    <w:rsid w:val="00847E1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semiHidden/>
    <w:rsid w:val="009D66A8"/>
    <w:rPr>
      <w:sz w:val="22"/>
      <w:lang w:val="en-GB"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en-GB"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semiHidden/>
    <w:rsid w:val="009D66A8"/>
    <w:rPr>
      <w:sz w:val="22"/>
      <w:lang w:val="en-GB"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3965DF"/>
    <w:pPr>
      <w:ind w:left="720"/>
      <w:contextualSpacing/>
    </w:pPr>
  </w:style>
  <w:style w:type="character" w:customStyle="1" w:styleId="UnresolvedMention1">
    <w:name w:val="Unresolved Mention1"/>
    <w:basedOn w:val="DefaultParagraphFont"/>
    <w:uiPriority w:val="99"/>
    <w:semiHidden/>
    <w:unhideWhenUsed/>
    <w:rsid w:val="00FA5192"/>
    <w:rPr>
      <w:color w:val="605E5C"/>
      <w:shd w:val="clear" w:color="auto" w:fill="E1DFDD"/>
    </w:rPr>
  </w:style>
  <w:style w:type="character" w:styleId="CommentReference">
    <w:name w:val="annotation reference"/>
    <w:basedOn w:val="DefaultParagraphFont"/>
    <w:semiHidden/>
    <w:unhideWhenUsed/>
    <w:rsid w:val="003734FE"/>
    <w:rPr>
      <w:sz w:val="16"/>
      <w:szCs w:val="16"/>
    </w:rPr>
  </w:style>
  <w:style w:type="paragraph" w:styleId="CommentText">
    <w:name w:val="annotation text"/>
    <w:basedOn w:val="Normal"/>
    <w:link w:val="CommentTextChar"/>
    <w:semiHidden/>
    <w:unhideWhenUsed/>
    <w:rsid w:val="003734FE"/>
    <w:pPr>
      <w:spacing w:line="240" w:lineRule="auto"/>
    </w:pPr>
    <w:rPr>
      <w:sz w:val="20"/>
    </w:rPr>
  </w:style>
  <w:style w:type="character" w:customStyle="1" w:styleId="CommentTextChar">
    <w:name w:val="Comment Text Char"/>
    <w:basedOn w:val="DefaultParagraphFont"/>
    <w:link w:val="CommentText"/>
    <w:semiHidden/>
    <w:rsid w:val="003734FE"/>
    <w:rPr>
      <w:lang w:val="en-GB" w:eastAsia="en-US"/>
    </w:rPr>
  </w:style>
  <w:style w:type="paragraph" w:styleId="CommentSubject">
    <w:name w:val="annotation subject"/>
    <w:basedOn w:val="CommentText"/>
    <w:next w:val="CommentText"/>
    <w:link w:val="CommentSubjectChar"/>
    <w:semiHidden/>
    <w:unhideWhenUsed/>
    <w:rsid w:val="003734FE"/>
    <w:rPr>
      <w:b/>
      <w:bCs/>
    </w:rPr>
  </w:style>
  <w:style w:type="character" w:customStyle="1" w:styleId="CommentSubjectChar">
    <w:name w:val="Comment Subject Char"/>
    <w:basedOn w:val="CommentTextChar"/>
    <w:link w:val="CommentSubject"/>
    <w:semiHidden/>
    <w:rsid w:val="003734FE"/>
    <w:rPr>
      <w:b/>
      <w:bCs/>
      <w:lang w:val="en-GB" w:eastAsia="en-US"/>
    </w:rPr>
  </w:style>
  <w:style w:type="paragraph" w:styleId="Revision">
    <w:name w:val="Revision"/>
    <w:hidden/>
    <w:uiPriority w:val="99"/>
    <w:semiHidden/>
    <w:rsid w:val="003734FE"/>
    <w:rPr>
      <w:sz w:val="22"/>
      <w:lang w:val="en-GB" w:eastAsia="en-US"/>
    </w:rPr>
  </w:style>
  <w:style w:type="character" w:styleId="Emphasis">
    <w:name w:val="Emphasis"/>
    <w:basedOn w:val="DefaultParagraphFont"/>
    <w:uiPriority w:val="20"/>
    <w:qFormat/>
    <w:rsid w:val="00277E35"/>
    <w:rPr>
      <w:i/>
      <w:iCs/>
    </w:rPr>
  </w:style>
  <w:style w:type="table" w:styleId="TableGrid">
    <w:name w:val="Table Grid"/>
    <w:basedOn w:val="TableNormal"/>
    <w:rsid w:val="00E0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3293">
      <w:bodyDiv w:val="1"/>
      <w:marLeft w:val="0"/>
      <w:marRight w:val="0"/>
      <w:marTop w:val="0"/>
      <w:marBottom w:val="0"/>
      <w:divBdr>
        <w:top w:val="none" w:sz="0" w:space="0" w:color="auto"/>
        <w:left w:val="none" w:sz="0" w:space="0" w:color="auto"/>
        <w:bottom w:val="none" w:sz="0" w:space="0" w:color="auto"/>
        <w:right w:val="none" w:sz="0" w:space="0" w:color="auto"/>
      </w:divBdr>
    </w:div>
    <w:div w:id="590315087">
      <w:bodyDiv w:val="1"/>
      <w:marLeft w:val="0"/>
      <w:marRight w:val="0"/>
      <w:marTop w:val="0"/>
      <w:marBottom w:val="0"/>
      <w:divBdr>
        <w:top w:val="none" w:sz="0" w:space="0" w:color="auto"/>
        <w:left w:val="none" w:sz="0" w:space="0" w:color="auto"/>
        <w:bottom w:val="none" w:sz="0" w:space="0" w:color="auto"/>
        <w:right w:val="none" w:sz="0" w:space="0" w:color="auto"/>
      </w:divBdr>
    </w:div>
    <w:div w:id="901519552">
      <w:bodyDiv w:val="1"/>
      <w:marLeft w:val="0"/>
      <w:marRight w:val="0"/>
      <w:marTop w:val="0"/>
      <w:marBottom w:val="0"/>
      <w:divBdr>
        <w:top w:val="none" w:sz="0" w:space="0" w:color="auto"/>
        <w:left w:val="none" w:sz="0" w:space="0" w:color="auto"/>
        <w:bottom w:val="none" w:sz="0" w:space="0" w:color="auto"/>
        <w:right w:val="none" w:sz="0" w:space="0" w:color="auto"/>
      </w:divBdr>
    </w:div>
    <w:div w:id="1154371513">
      <w:bodyDiv w:val="1"/>
      <w:marLeft w:val="0"/>
      <w:marRight w:val="0"/>
      <w:marTop w:val="0"/>
      <w:marBottom w:val="0"/>
      <w:divBdr>
        <w:top w:val="none" w:sz="0" w:space="0" w:color="auto"/>
        <w:left w:val="none" w:sz="0" w:space="0" w:color="auto"/>
        <w:bottom w:val="none" w:sz="0" w:space="0" w:color="auto"/>
        <w:right w:val="none" w:sz="0" w:space="0" w:color="auto"/>
      </w:divBdr>
    </w:div>
    <w:div w:id="11659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memportal.cor.europa.eu/Handlers/ViewDoc.ashx?doc=COR-2022-05357-00-00-DECL-TRA-EN.docx" TargetMode="External"/><Relationship Id="rId2" Type="http://schemas.openxmlformats.org/officeDocument/2006/relationships/hyperlink" Target="https://eur-lex.europa.eu/legal-content/EN/TXT/HTML/?uri=CELEX:52022DC0289&amp;from=NL" TargetMode="External"/><Relationship Id="rId1" Type="http://schemas.openxmlformats.org/officeDocument/2006/relationships/hyperlink" Target="https://eur-lex.europa.eu/legal-content/EN/TXT/HTML/?uri=CELEX:52021DC0345&amp;from=EN" TargetMode="External"/><Relationship Id="rId5" Type="http://schemas.openxmlformats.org/officeDocument/2006/relationships/hyperlink" Target="https://digital-strategy.ec.europa.eu/en/library/european-declaration-digital-rights-and-principles" TargetMode="External"/><Relationship Id="rId4" Type="http://schemas.openxmlformats.org/officeDocument/2006/relationships/hyperlink" Target="https://mmr.cz/en/microsites/pres/akce/cz-pres-konference-inovativni-region-prilezit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CYZ3CSFTTJZN-1592397717-7548</_dlc_DocId>
    <_dlc_DocIdUrl xmlns="a5cee624-e552-4ccf-bb43-73febcb5c274">
      <Url>http://dm2016/cor/2022/_layouts/15/DocIdRedir.aspx?ID=CYZ3CSFTTJZN-1592397717-7548</Url>
      <Description>CYZ3CSFTTJZN-1592397717-7548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2023-02-01T12:00:00+00:00</ProductionDate>
    <FicheYear xmlns="a5cee624-e552-4ccf-bb43-73febcb5c274" xsi:nil="true"/>
    <DocumentNumber xmlns="3a6bb67d-da8b-4200-ad61-e3e974c4d9d9">4320</DocumentNumber>
    <DocumentVersion xmlns="a5cee624-e552-4ccf-bb43-73febcb5c274">0</DocumentVersion>
    <DossierNumber xmlns="a5cee624-e552-4ccf-bb43-73febcb5c274">30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2023-03-15T12:00:00+00:00</MeetingDate>
    <TaxCatchAll xmlns="a5cee624-e552-4ccf-bb43-73febcb5c274">
      <Value>87</Value>
      <Value>86</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99</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a5cee624-e552-4ccf-bb43-73febcb5c274">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1430</FicheNumber>
    <OriginalSender xmlns="a5cee624-e552-4ccf-bb43-73febcb5c274">
      <UserInfo>
        <DisplayName>TDriveSVCUserProd</DisplayName>
        <AccountId>1528</AccountId>
        <AccountType/>
      </UserInfo>
    </OriginalSender>
    <DocumentPart xmlns="a5cee624-e552-4ccf-bb43-73febcb5c274">0</DocumentPart>
    <AdoptionDate xmlns="a5cee624-e552-4ccf-bb43-73febcb5c274" xsi:nil="true"/>
    <RequestingService xmlns="a5cee624-e552-4ccf-bb43-73febcb5c274">Commission NAT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a6bb67d-da8b-4200-ad61-e3e974c4d9d9">154</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NAT-VII</TermName>
          <TermId xmlns="http://schemas.microsoft.com/office/infopath/2007/PartnerControls">c430e6b7-a42c-4284-b371-0f36990d71ff</TermId>
        </TermInfo>
      </Term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E9871DDB3E77F47AF80F60FC134B5A1" ma:contentTypeVersion="4" ma:contentTypeDescription="Defines the documents for Document Manager V2" ma:contentTypeScope="" ma:versionID="425219ba7565213e689b1c7b899c43aa">
  <xsd:schema xmlns:xsd="http://www.w3.org/2001/XMLSchema" xmlns:xs="http://www.w3.org/2001/XMLSchema" xmlns:p="http://schemas.microsoft.com/office/2006/metadata/properties" xmlns:ns2="a5cee624-e552-4ccf-bb43-73febcb5c274" xmlns:ns3="http://schemas.microsoft.com/sharepoint/v3/fields" xmlns:ns4="3a6bb67d-da8b-4200-ad61-e3e974c4d9d9" targetNamespace="http://schemas.microsoft.com/office/2006/metadata/properties" ma:root="true" ma:fieldsID="17326bc4e9c575f59ad594c6fc21e4d2" ns2:_="" ns3:_="" ns4:_="">
    <xsd:import namespace="a5cee624-e552-4ccf-bb43-73febcb5c274"/>
    <xsd:import namespace="http://schemas.microsoft.com/sharepoint/v3/fields"/>
    <xsd:import namespace="3a6bb67d-da8b-4200-ad61-e3e974c4d9d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bb67d-da8b-4200-ad61-e3e974c4d9d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D11BF-7FF1-4DBA-8412-7B26BC5888AA}">
  <ds:schemaRefs>
    <ds:schemaRef ds:uri="http://schemas.microsoft.com/sharepoint/events"/>
  </ds:schemaRefs>
</ds:datastoreItem>
</file>

<file path=customXml/itemProps2.xml><?xml version="1.0" encoding="utf-8"?>
<ds:datastoreItem xmlns:ds="http://schemas.openxmlformats.org/officeDocument/2006/customXml" ds:itemID="{867D7211-A162-42D8-BF85-8CF345FF0632}">
  <ds:schemaRefs>
    <ds:schemaRef ds:uri="http://schemas.microsoft.com/sharepoint/v3/contenttype/forms"/>
  </ds:schemaRefs>
</ds:datastoreItem>
</file>

<file path=customXml/itemProps3.xml><?xml version="1.0" encoding="utf-8"?>
<ds:datastoreItem xmlns:ds="http://schemas.openxmlformats.org/officeDocument/2006/customXml" ds:itemID="{1C2C4B73-A82E-495B-A21A-18E949E7F39F}">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3a6bb67d-da8b-4200-ad61-e3e974c4d9d9"/>
  </ds:schemaRefs>
</ds:datastoreItem>
</file>

<file path=customXml/itemProps4.xml><?xml version="1.0" encoding="utf-8"?>
<ds:datastoreItem xmlns:ds="http://schemas.openxmlformats.org/officeDocument/2006/customXml" ds:itemID="{F0437A64-D743-4DAB-B435-136087CC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3a6bb67d-da8b-4200-ad61-e3e974c4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Targets and tools for a Smart Rural Europe</vt:lpstr>
    </vt:vector>
  </TitlesOfParts>
  <Manager/>
  <Company>CESE-CdR</Company>
  <LinksUpToDate>false</LinksUpToDate>
  <CharactersWithSpaces>20187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Targets and tools for a Smart Rural Europe</dc:title>
  <dc:subject>Draft Committee opinion</dc:subject>
  <dc:creator>Emma Nieddu</dc:creator>
  <cp:keywords>COR-2022-04320-00-00-PAC-TRA-EN</cp:keywords>
  <dc:description>Rapporteur: - SRŠEŇ Original language: - EN Date of document: - 01/02/2023 Date of meeting: - 15/03/2023 External documents: -  Administrator responsible: - M. BOELE Klaus</dc:description>
  <cp:lastModifiedBy>Boele Klaus</cp:lastModifiedBy>
  <cp:revision>3</cp:revision>
  <cp:lastPrinted>2007-01-10T10:43:00Z</cp:lastPrinted>
  <dcterms:created xsi:type="dcterms:W3CDTF">2023-03-16T14:02:00Z</dcterms:created>
  <dcterms:modified xsi:type="dcterms:W3CDTF">2023-03-16T14:04:00Z</dcterms:modified>
  <cp:category>NAT-VII/30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01/02/2023, 21/12/2022</vt:lpwstr>
  </property>
  <property fmtid="{D5CDD505-2E9C-101B-9397-08002B2CF9AE}" pid="4" name="Pref_Time">
    <vt:lpwstr>17:07:39, 11:51:24</vt:lpwstr>
  </property>
  <property fmtid="{D5CDD505-2E9C-101B-9397-08002B2CF9AE}" pid="5" name="Pref_User">
    <vt:lpwstr>amett, enied</vt:lpwstr>
  </property>
  <property fmtid="{D5CDD505-2E9C-101B-9397-08002B2CF9AE}" pid="6" name="Pref_FileName">
    <vt:lpwstr>COR-2022-04320-00-00-PAC-TRA-EN-CRR.docx, COR-2022-04320-00-00-PA-TRA-EN-CRR.docx</vt:lpwstr>
  </property>
  <property fmtid="{D5CDD505-2E9C-101B-9397-08002B2CF9AE}" pid="7" name="ContentTypeId">
    <vt:lpwstr>0x010100EA97B91038054C99906057A708A1480A007E9871DDB3E77F47AF80F60FC134B5A1</vt:lpwstr>
  </property>
  <property fmtid="{D5CDD505-2E9C-101B-9397-08002B2CF9AE}" pid="8" name="_dlc_DocIdItemGuid">
    <vt:lpwstr>8eb040d8-c243-4270-8a5f-bdb28b3ffea7</vt:lpwstr>
  </property>
  <property fmtid="{D5CDD505-2E9C-101B-9397-08002B2CF9AE}" pid="9" name="AvailableTranslations">
    <vt:lpwstr>28;#MT|7df99101-6854-4a26-b53a-b88c0da02c26;#15;#IT|0774613c-01ed-4e5d-a25d-11d2388de825;#25;#CS|72f9705b-0217-4fd3-bea2-cbc7ed80e26e;#23;#BG|1a1b3951-7821-4e6a-85f5-5673fc08bd2c;#40;#GA|762d2456-c427-4ecb-b312-af3dad8e258c;#27;#HU|6b229040-c589-4408-b4c1-4285663d20a8;#30;#RO|feb747a2-64cd-4299-af12-4833ddc30497;#19;#NL|55c6556c-b4f4-441d-9acf-c498d4f838bd;#14;#SV|c2ed69e7-a339-43d7-8f22-d93680a92aa0;#24;#PT|50ccc04a-eadd-42ae-a0cb-acaf45f812ba;#41;#ET|ff6c3f4c-b02c-4c3c-ab07-2c37995a7a0a;#20;#SK|46d9fce0-ef79-4f71-b89b-cd6aa82426b8;#22;#DA|5d49c027-8956-412b-aa16-e85a0f96ad0e;#4;#EN|f2175f21-25d7-44a3-96da-d6a61b075e1b;#26;#ES|e7a6b05b-ae16-40c8-add9-68b64b03aeba;#11;#PL|1e03da61-4678-4e07-b136-b5024ca9197b;#18;#DE|f6b31e5a-26fa-4935-b661-318e46daf27e;#17;#FI|87606a43-d45f-42d6-b8c9-e1a3457db5b7;#38;#HR|2f555653-ed1a-4fe6-8362-9082d95989e5;#35;#LT|a7ff5ce7-6123-4f68-865a-a57c31810414;#34;#SL|98a412ae-eb01-49e9-ae3d-585a81724cfc;#33;#FR|d2afafd3-4c81-4f60-8f52-ee33f2f54ff3;#29;#LV|46f7e311-5d9f-4663-b433-18aeccb7ace7;#21;#EL|6d4f4d51-af9b-4650-94b4-4276bee85c91</vt:lpwstr>
  </property>
  <property fmtid="{D5CDD505-2E9C-101B-9397-08002B2CF9AE}" pid="10" name="DocumentType_0">
    <vt:lpwstr>PAC|719e5324-e7b4-48f6-9bbb-a2f1f3496a94</vt:lpwstr>
  </property>
  <property fmtid="{D5CDD505-2E9C-101B-9397-08002B2CF9AE}" pid="11" name="MeetingNumber">
    <vt:i4>154</vt:i4>
  </property>
  <property fmtid="{D5CDD505-2E9C-101B-9397-08002B2CF9AE}" pid="12" name="DossierName_0">
    <vt:lpwstr>NAT-VII|c430e6b7-a42c-4284-b371-0f36990d71ff</vt:lpwstr>
  </property>
  <property fmtid="{D5CDD505-2E9C-101B-9397-08002B2CF9AE}" pid="13" name="DocumentSource_0">
    <vt:lpwstr>CoR|cb2d75ef-4a7d-4393-b797-49ed6298a5ea</vt:lpwstr>
  </property>
  <property fmtid="{D5CDD505-2E9C-101B-9397-08002B2CF9AE}" pid="14" name="DocumentNumber">
    <vt:i4>4320</vt:i4>
  </property>
  <property fmtid="{D5CDD505-2E9C-101B-9397-08002B2CF9AE}" pid="15" name="FicheYear">
    <vt:i4>2022</vt:i4>
  </property>
  <property fmtid="{D5CDD505-2E9C-101B-9397-08002B2CF9AE}" pid="16" name="DocumentVersion">
    <vt:i4>0</vt:i4>
  </property>
  <property fmtid="{D5CDD505-2E9C-101B-9397-08002B2CF9AE}" pid="17" name="DossierNumber">
    <vt:i4>30</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99;#NAT-VII|c430e6b7-a42c-4284-b371-0f36990d71ff</vt:lpwstr>
  </property>
  <property fmtid="{D5CDD505-2E9C-101B-9397-08002B2CF9AE}" pid="21" name="DocumentSource">
    <vt:lpwstr>1;#CoR|cb2d75ef-4a7d-4393-b797-49ed6298a5ea</vt:lpwstr>
  </property>
  <property fmtid="{D5CDD505-2E9C-101B-9397-08002B2CF9AE}" pid="22" name="DocumentType">
    <vt:lpwstr>86;#PAC|719e5324-e7b4-48f6-9bbb-a2f1f3496a94</vt:lpwstr>
  </property>
  <property fmtid="{D5CDD505-2E9C-101B-9397-08002B2CF9AE}" pid="23" name="RequestingService">
    <vt:lpwstr>Commission NAT</vt:lpwstr>
  </property>
  <property fmtid="{D5CDD505-2E9C-101B-9397-08002B2CF9AE}" pid="24" name="Confidentiality">
    <vt:lpwstr>8;#Unrestricted|826e22d7-d029-4ec0-a450-0c28ff673572</vt:lpwstr>
  </property>
  <property fmtid="{D5CDD505-2E9C-101B-9397-08002B2CF9AE}" pid="25" name="MeetingName_0">
    <vt:lpwstr>SPL-CDR|8f822234-72c1-4721-9e21-9e3c2bc35462</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87;#SPL-CDR|8f822234-72c1-4721-9e21-9e3c2bc35462</vt:lpwstr>
  </property>
  <property fmtid="{D5CDD505-2E9C-101B-9397-08002B2CF9AE}" pid="29" name="MeetingDate">
    <vt:filetime>2023-03-15T12:00:00Z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86;#PAC|719e5324-e7b4-48f6-9bbb-a2f1f3496a94;#99;#NAT-VII|c430e6b7-a42c-4284-b371-0f36990d71ff;#8;#Unrestricted|826e22d7-d029-4ec0-a450-0c28ff673572;#87;#SPL-CDR|8f822234-72c1-4721-9e21-9e3c2bc35462;#4;#EN|f2175f21-25d7-44a3-96da-d6a61b075e1b;#2;#TRA|150d2a88-1431-44e6-a8ca-0bb753ab8672;#1;#CoR|cb2d75ef-4a7d-4393-b797-49ed6298a5ea;#6;#Final|ea5e6674-7b27-4bac-b091-73adbb394efe</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2022</vt:i4>
  </property>
  <property fmtid="{D5CDD505-2E9C-101B-9397-08002B2CF9AE}" pid="38" name="FicheNumber">
    <vt:i4>1430</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